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DC0CC2" w:rsidRPr="000D0FDD" w14:paraId="24279854" w14:textId="77777777" w:rsidTr="00B33BBB">
        <w:trPr>
          <w:gridBefore w:val="1"/>
          <w:gridAfter w:val="1"/>
          <w:wBefore w:w="107" w:type="dxa"/>
          <w:wAfter w:w="207" w:type="dxa"/>
          <w:trHeight w:hRule="exact" w:val="1604"/>
        </w:trPr>
        <w:tc>
          <w:tcPr>
            <w:tcW w:w="10664" w:type="dxa"/>
            <w:gridSpan w:val="3"/>
            <w:tcBorders>
              <w:top w:val="nil"/>
              <w:left w:val="nil"/>
              <w:bottom w:val="nil"/>
              <w:right w:val="nil"/>
            </w:tcBorders>
          </w:tcPr>
          <w:p w14:paraId="269CE6F9" w14:textId="2DF40830" w:rsidR="00DC0CC2" w:rsidRPr="00DA60A8" w:rsidRDefault="00DC0CC2" w:rsidP="00DC0CC2">
            <w:pPr>
              <w:autoSpaceDE w:val="0"/>
              <w:autoSpaceDN w:val="0"/>
              <w:adjustRightInd w:val="0"/>
              <w:spacing w:after="240"/>
              <w:jc w:val="center"/>
              <w:rPr>
                <w:rFonts w:ascii="Times New Roman" w:eastAsia="TimesNewRoman" w:hAnsi="Times New Roman" w:cs="Times New Roman"/>
                <w:b/>
                <w:bCs/>
                <w:sz w:val="32"/>
                <w:szCs w:val="32"/>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2848" behindDoc="0" locked="0" layoutInCell="0" allowOverlap="1" wp14:anchorId="54652B44" wp14:editId="4839AF89">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DD6D3F" id="رابط مستقيم 5" o:spid="_x0000_s1026" style="position:absolute;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Pr="000D0FDD">
              <w:rPr>
                <w:rFonts w:asciiTheme="majorBidi" w:hAnsiTheme="majorBidi" w:cstheme="majorBidi"/>
                <w:noProof/>
                <w:color w:val="000000" w:themeColor="text1"/>
                <w:sz w:val="32"/>
                <w:szCs w:val="32"/>
              </w:rPr>
              <w:drawing>
                <wp:anchor distT="0" distB="0" distL="114300" distR="114300" simplePos="0" relativeHeight="251661824" behindDoc="0" locked="0" layoutInCell="1" allowOverlap="1" wp14:anchorId="681000D2" wp14:editId="48FC6143">
                  <wp:simplePos x="0" y="0"/>
                  <wp:positionH relativeFrom="column">
                    <wp:posOffset>6154420</wp:posOffset>
                  </wp:positionH>
                  <wp:positionV relativeFrom="paragraph">
                    <wp:posOffset>100965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43A">
              <w:rPr>
                <w:rFonts w:ascii="Times New Roman" w:hAnsi="Times New Roman" w:cs="Times New Roman"/>
                <w:b/>
                <w:bCs/>
                <w:sz w:val="32"/>
                <w:szCs w:val="32"/>
              </w:rPr>
              <w:t xml:space="preserve"> </w:t>
            </w:r>
            <w:r w:rsidRPr="00DA60A8">
              <w:rPr>
                <w:rFonts w:ascii="Times New Roman" w:eastAsia="TimesNewRoman" w:hAnsi="Times New Roman" w:cs="Times New Roman"/>
                <w:b/>
                <w:bCs/>
                <w:sz w:val="32"/>
                <w:szCs w:val="32"/>
              </w:rPr>
              <w:t xml:space="preserve">Studying </w:t>
            </w:r>
            <w:proofErr w:type="spellStart"/>
            <w:r w:rsidRPr="00DA60A8">
              <w:rPr>
                <w:rFonts w:ascii="Times New Roman" w:eastAsia="TimesNewRoman" w:hAnsi="Times New Roman" w:cs="Times New Roman"/>
                <w:b/>
                <w:bCs/>
                <w:sz w:val="32"/>
                <w:szCs w:val="32"/>
              </w:rPr>
              <w:t>Neudesin</w:t>
            </w:r>
            <w:proofErr w:type="spellEnd"/>
            <w:r w:rsidRPr="00DA60A8">
              <w:rPr>
                <w:rFonts w:ascii="Times New Roman" w:eastAsia="TimesNewRoman" w:hAnsi="Times New Roman" w:cs="Times New Roman"/>
                <w:b/>
                <w:bCs/>
                <w:sz w:val="32"/>
                <w:szCs w:val="32"/>
              </w:rPr>
              <w:t xml:space="preserve"> marker in Iraqi Thyroid Dysfunction Patients</w:t>
            </w:r>
          </w:p>
          <w:p w14:paraId="6C55B572" w14:textId="12C30519" w:rsidR="00DC0CC2" w:rsidRPr="00132A1D" w:rsidRDefault="00DC0CC2" w:rsidP="00E25D39">
            <w:pPr>
              <w:autoSpaceDE w:val="0"/>
              <w:autoSpaceDN w:val="0"/>
              <w:adjustRightInd w:val="0"/>
              <w:spacing w:line="360" w:lineRule="auto"/>
              <w:jc w:val="center"/>
              <w:rPr>
                <w:rFonts w:ascii="Times New Roman" w:hAnsi="Times New Roman" w:cs="Times New Roman"/>
                <w:b/>
                <w:bCs/>
                <w:sz w:val="24"/>
                <w:szCs w:val="24"/>
                <w:vertAlign w:val="superscript"/>
                <w:lang w:bidi="ar-IQ"/>
              </w:rPr>
            </w:pPr>
            <w:proofErr w:type="spellStart"/>
            <w:r w:rsidRPr="00132A1D">
              <w:rPr>
                <w:rFonts w:ascii="Times New Roman" w:hAnsi="Times New Roman" w:cs="Times New Roman"/>
                <w:b/>
                <w:bCs/>
                <w:sz w:val="24"/>
                <w:szCs w:val="24"/>
              </w:rPr>
              <w:t>Dhuha</w:t>
            </w:r>
            <w:proofErr w:type="spellEnd"/>
            <w:r w:rsidRPr="00132A1D">
              <w:rPr>
                <w:rFonts w:ascii="Times New Roman" w:hAnsi="Times New Roman" w:cs="Times New Roman"/>
                <w:b/>
                <w:bCs/>
                <w:sz w:val="24"/>
                <w:szCs w:val="24"/>
              </w:rPr>
              <w:t xml:space="preserve"> I. F </w:t>
            </w:r>
            <w:proofErr w:type="spellStart"/>
            <w:r w:rsidRPr="00132A1D">
              <w:rPr>
                <w:rFonts w:ascii="Times New Roman" w:hAnsi="Times New Roman" w:cs="Times New Roman"/>
                <w:b/>
                <w:bCs/>
                <w:sz w:val="24"/>
                <w:szCs w:val="24"/>
              </w:rPr>
              <w:t>Aljumaili</w:t>
            </w:r>
            <w:proofErr w:type="spellEnd"/>
            <w:r w:rsidR="00E25D39">
              <w:rPr>
                <w:rFonts w:ascii="Times New Roman" w:hAnsi="Times New Roman" w:cs="Times New Roman" w:hint="cs"/>
                <w:b/>
                <w:bCs/>
                <w:sz w:val="24"/>
                <w:szCs w:val="24"/>
                <w:vertAlign w:val="superscript"/>
                <w:rtl/>
              </w:rPr>
              <w:t>*</w:t>
            </w:r>
            <w:r w:rsidRPr="00132A1D">
              <w:rPr>
                <w:rFonts w:ascii="Times New Roman" w:hAnsi="Times New Roman" w:cs="Times New Roman"/>
                <w:b/>
                <w:bCs/>
                <w:sz w:val="24"/>
                <w:szCs w:val="24"/>
              </w:rPr>
              <w:t xml:space="preserve">, </w:t>
            </w:r>
            <w:proofErr w:type="spellStart"/>
            <w:r w:rsidRPr="00132A1D">
              <w:rPr>
                <w:rFonts w:ascii="Times New Roman" w:hAnsi="Times New Roman" w:cs="Times New Roman"/>
                <w:b/>
                <w:bCs/>
                <w:sz w:val="24"/>
                <w:szCs w:val="24"/>
              </w:rPr>
              <w:t>Shakir</w:t>
            </w:r>
            <w:proofErr w:type="spellEnd"/>
            <w:r w:rsidRPr="00132A1D">
              <w:rPr>
                <w:rFonts w:ascii="Times New Roman" w:hAnsi="Times New Roman" w:cs="Times New Roman"/>
                <w:b/>
                <w:bCs/>
                <w:sz w:val="24"/>
                <w:szCs w:val="24"/>
              </w:rPr>
              <w:t xml:space="preserve"> F. T. </w:t>
            </w:r>
            <w:proofErr w:type="spellStart"/>
            <w:r w:rsidRPr="00132A1D">
              <w:rPr>
                <w:rFonts w:ascii="Times New Roman" w:hAnsi="Times New Roman" w:cs="Times New Roman"/>
                <w:b/>
                <w:bCs/>
                <w:sz w:val="24"/>
                <w:szCs w:val="24"/>
              </w:rPr>
              <w:t>Alaaraji</w:t>
            </w:r>
            <w:proofErr w:type="spellEnd"/>
          </w:p>
          <w:bookmarkStart w:id="0" w:name="_GoBack"/>
          <w:p w14:paraId="1A4D57A2" w14:textId="1C6137E2" w:rsidR="00DC0CC2" w:rsidRPr="00E25D39" w:rsidRDefault="00E25D39" w:rsidP="00E2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65920" behindDoc="0" locked="0" layoutInCell="1" allowOverlap="1" wp14:anchorId="152C338A" wp14:editId="15540804">
                      <wp:simplePos x="0" y="0"/>
                      <wp:positionH relativeFrom="column">
                        <wp:posOffset>-99060</wp:posOffset>
                      </wp:positionH>
                      <wp:positionV relativeFrom="paragraph">
                        <wp:posOffset>281940</wp:posOffset>
                      </wp:positionV>
                      <wp:extent cx="6047105" cy="0"/>
                      <wp:effectExtent l="38100" t="38100" r="67945" b="952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710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2.2pt" to="468.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" strokecolor="windowText" strokeweight="1.5pt">
                      <v:shadow on="t" color="black" opacity="24903f" origin=",.5" offset="0,.55556mm"/>
                      <o:lock v:ext="edit" shapetype="f"/>
                    </v:line>
                  </w:pict>
                </mc:Fallback>
              </mc:AlternateContent>
            </w:r>
            <w:r w:rsidR="00DC0CC2" w:rsidRPr="00DC0CC2">
              <w:rPr>
                <w:rFonts w:ascii="Times New Roman" w:hAnsi="Times New Roman" w:cs="Times New Roman"/>
              </w:rPr>
              <w:t xml:space="preserve">Department of </w:t>
            </w:r>
            <w:r w:rsidR="00DC0CC2" w:rsidRPr="00DC0CC2">
              <w:rPr>
                <w:rFonts w:ascii="Times New Roman" w:hAnsi="Times New Roman" w:cs="Times New Roman" w:hint="cs"/>
                <w:rtl/>
              </w:rPr>
              <w:t xml:space="preserve"> </w:t>
            </w:r>
            <w:r w:rsidR="00DC0CC2" w:rsidRPr="00DC0CC2">
              <w:rPr>
                <w:rFonts w:ascii="Times New Roman" w:hAnsi="Times New Roman" w:cs="Times New Roman"/>
              </w:rPr>
              <w:t>Chemistry,</w:t>
            </w:r>
            <w:r w:rsidR="00DC0CC2" w:rsidRPr="00DC0CC2">
              <w:rPr>
                <w:rFonts w:ascii="Times New Roman" w:hAnsi="Times New Roman" w:cs="Times New Roman"/>
                <w:rtl/>
              </w:rPr>
              <w:t xml:space="preserve"> </w:t>
            </w:r>
            <w:r w:rsidR="00DC0CC2" w:rsidRPr="00DC0CC2">
              <w:rPr>
                <w:rFonts w:ascii="Times New Roman" w:hAnsi="Times New Roman" w:cs="Times New Roman"/>
              </w:rPr>
              <w:t xml:space="preserve"> College of Education for Pure Science</w:t>
            </w:r>
            <w:r w:rsidR="00DC0CC2" w:rsidRPr="00DC0CC2">
              <w:rPr>
                <w:rFonts w:ascii="Times New Roman" w:hAnsi="Times New Roman" w:cs="Times New Roman"/>
                <w:rtl/>
              </w:rPr>
              <w:t xml:space="preserve"> </w:t>
            </w:r>
            <w:r w:rsidR="00DC0CC2" w:rsidRPr="00DC0CC2">
              <w:rPr>
                <w:rFonts w:ascii="Times New Roman" w:hAnsi="Times New Roman" w:cs="Times New Roman"/>
              </w:rPr>
              <w:t>, University Of</w:t>
            </w:r>
            <w:r w:rsidR="00DC0CC2" w:rsidRPr="00DC0CC2">
              <w:rPr>
                <w:rFonts w:ascii="Times New Roman" w:hAnsi="Times New Roman" w:cs="Times New Roman"/>
                <w:rtl/>
              </w:rPr>
              <w:t xml:space="preserve">  </w:t>
            </w:r>
            <w:r w:rsidR="00DC0CC2" w:rsidRPr="00DC0CC2">
              <w:rPr>
                <w:rFonts w:ascii="Times New Roman" w:hAnsi="Times New Roman" w:cs="Times New Roman"/>
              </w:rPr>
              <w:t>Anbar,</w:t>
            </w:r>
            <w:r w:rsidR="00DC0CC2">
              <w:rPr>
                <w:rFonts w:ascii="Times New Roman" w:eastAsia="Times New Roman" w:hAnsi="Times New Roman" w:cs="Times New Roman"/>
                <w:color w:val="202124"/>
              </w:rPr>
              <w:t xml:space="preserve"> </w:t>
            </w:r>
            <w:r w:rsidR="00DC0CC2" w:rsidRPr="00DC0CC2">
              <w:rPr>
                <w:rFonts w:ascii="Times New Roman" w:hAnsi="Times New Roman" w:cs="Times New Roman"/>
                <w:rtl/>
              </w:rPr>
              <w:t xml:space="preserve"> </w:t>
            </w:r>
            <w:r w:rsidR="002C221A">
              <w:rPr>
                <w:rFonts w:ascii="Times New Roman" w:hAnsi="Times New Roman" w:cs="Times New Roman"/>
              </w:rPr>
              <w:t>Ramadi, Iraq;</w:t>
            </w:r>
            <w:bookmarkEnd w:id="0"/>
          </w:p>
        </w:tc>
      </w:tr>
      <w:tr w:rsidR="00DC0CC2" w:rsidRPr="000D0FDD" w14:paraId="4F5BAB09" w14:textId="77777777" w:rsidTr="00DC0CC2">
        <w:tblPrEx>
          <w:tblCellMar>
            <w:left w:w="108" w:type="dxa"/>
            <w:right w:w="108" w:type="dxa"/>
          </w:tblCellMar>
          <w:tblLook w:val="04A0" w:firstRow="1" w:lastRow="0" w:firstColumn="1" w:lastColumn="0" w:noHBand="0" w:noVBand="1"/>
        </w:tblPrEx>
        <w:trPr>
          <w:trHeight w:hRule="exact" w:val="289"/>
        </w:trPr>
        <w:tc>
          <w:tcPr>
            <w:tcW w:w="3060" w:type="dxa"/>
            <w:gridSpan w:val="2"/>
          </w:tcPr>
          <w:p w14:paraId="1E0B8404" w14:textId="77777777" w:rsidR="00DC0CC2" w:rsidRPr="00033449" w:rsidRDefault="00DC0CC2" w:rsidP="00DC0CC2">
            <w:pPr>
              <w:ind w:left="10"/>
              <w:rPr>
                <w:rFonts w:ascii="Times New Roman" w:hAnsi="Times New Roman" w:cs="Times New Roman"/>
                <w:b/>
                <w:bCs/>
                <w:color w:val="000000" w:themeColor="text1"/>
                <w:spacing w:val="54"/>
                <w:sz w:val="20"/>
                <w:szCs w:val="20"/>
              </w:rPr>
            </w:pPr>
            <w:r w:rsidRPr="00033449">
              <w:rPr>
                <w:rFonts w:ascii="Times New Roman" w:hAnsi="Times New Roman" w:cs="Times New Roman"/>
                <w:b/>
                <w:bCs/>
                <w:color w:val="000000" w:themeColor="text1"/>
                <w:spacing w:val="54"/>
                <w:sz w:val="20"/>
                <w:szCs w:val="20"/>
              </w:rPr>
              <w:t>ARTICLE INFO</w:t>
            </w:r>
          </w:p>
        </w:tc>
        <w:tc>
          <w:tcPr>
            <w:tcW w:w="241" w:type="dxa"/>
          </w:tcPr>
          <w:p w14:paraId="3AD45B74" w14:textId="77777777" w:rsidR="00DC0CC2" w:rsidRPr="000D0FDD" w:rsidRDefault="00DC0CC2" w:rsidP="00DC0CC2">
            <w:pPr>
              <w:ind w:left="10"/>
              <w:rPr>
                <w:rFonts w:asciiTheme="majorBidi" w:hAnsiTheme="majorBidi" w:cstheme="majorBidi"/>
                <w:color w:val="000000" w:themeColor="text1"/>
                <w:spacing w:val="54"/>
                <w:sz w:val="18"/>
                <w:szCs w:val="18"/>
              </w:rPr>
            </w:pPr>
          </w:p>
        </w:tc>
        <w:tc>
          <w:tcPr>
            <w:tcW w:w="7677" w:type="dxa"/>
            <w:gridSpan w:val="2"/>
          </w:tcPr>
          <w:p w14:paraId="7FC54E59" w14:textId="77777777" w:rsidR="00DC0CC2" w:rsidRPr="00033449" w:rsidRDefault="00DC0CC2" w:rsidP="00DC0CC2">
            <w:pPr>
              <w:ind w:left="5"/>
              <w:rPr>
                <w:rFonts w:asciiTheme="majorBidi" w:hAnsiTheme="majorBidi" w:cstheme="majorBidi"/>
                <w:b/>
                <w:bCs/>
                <w:color w:val="000000" w:themeColor="text1"/>
                <w:spacing w:val="60"/>
                <w:sz w:val="20"/>
                <w:szCs w:val="20"/>
              </w:rPr>
            </w:pPr>
            <w:r w:rsidRPr="00033449">
              <w:rPr>
                <w:rFonts w:asciiTheme="majorBidi" w:hAnsiTheme="majorBidi" w:cstheme="majorBidi"/>
                <w:b/>
                <w:bCs/>
                <w:color w:val="000000" w:themeColor="text1"/>
                <w:spacing w:val="60"/>
                <w:sz w:val="20"/>
                <w:szCs w:val="20"/>
              </w:rPr>
              <w:t>ABSTRACT</w:t>
            </w:r>
          </w:p>
        </w:tc>
      </w:tr>
      <w:tr w:rsidR="00DC0CC2" w:rsidRPr="000D0FDD" w14:paraId="07E47F24" w14:textId="77777777" w:rsidTr="00DC0CC2">
        <w:tblPrEx>
          <w:tblCellMar>
            <w:left w:w="108" w:type="dxa"/>
            <w:right w:w="108" w:type="dxa"/>
          </w:tblCellMar>
          <w:tblLook w:val="04A0" w:firstRow="1" w:lastRow="0" w:firstColumn="1" w:lastColumn="0" w:noHBand="0" w:noVBand="1"/>
        </w:tblPrEx>
        <w:trPr>
          <w:trHeight w:val="902"/>
        </w:trPr>
        <w:tc>
          <w:tcPr>
            <w:tcW w:w="3060" w:type="dxa"/>
            <w:gridSpan w:val="2"/>
          </w:tcPr>
          <w:p w14:paraId="0ABD581B" w14:textId="1E7388D5" w:rsidR="00DC0CC2" w:rsidRPr="00033449" w:rsidRDefault="00DC0CC2" w:rsidP="002C221A">
            <w:pPr>
              <w:rPr>
                <w:rFonts w:ascii="Times New Roman" w:eastAsia="Times New Roman" w:hAnsi="Times New Roman" w:cs="Times New Roman"/>
                <w:color w:val="000000" w:themeColor="text1"/>
                <w:spacing w:val="3"/>
                <w:sz w:val="18"/>
                <w:szCs w:val="18"/>
                <w:lang w:bidi="ar-IQ"/>
              </w:rPr>
            </w:pPr>
            <w:r w:rsidRPr="00033449">
              <w:rPr>
                <w:rFonts w:ascii="Times New Roman" w:eastAsia="Times New Roman" w:hAnsi="Times New Roman" w:cs="Times New Roman"/>
                <w:color w:val="000000" w:themeColor="text1"/>
                <w:spacing w:val="3"/>
                <w:sz w:val="18"/>
                <w:szCs w:val="18"/>
              </w:rPr>
              <w:t xml:space="preserve">Received:   </w:t>
            </w:r>
            <w:r w:rsidR="002C221A">
              <w:rPr>
                <w:rFonts w:ascii="Times New Roman" w:eastAsia="Times New Roman" w:hAnsi="Times New Roman" w:cs="Times New Roman"/>
                <w:color w:val="000000" w:themeColor="text1"/>
                <w:spacing w:val="3"/>
                <w:sz w:val="18"/>
                <w:szCs w:val="18"/>
              </w:rPr>
              <w:t>18</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2C221A">
              <w:rPr>
                <w:rFonts w:ascii="Times New Roman" w:eastAsia="Times New Roman" w:hAnsi="Times New Roman" w:cs="Times New Roman"/>
                <w:color w:val="000000" w:themeColor="text1"/>
                <w:spacing w:val="3"/>
                <w:sz w:val="18"/>
                <w:szCs w:val="18"/>
              </w:rPr>
              <w:t>06</w:t>
            </w:r>
            <w:r w:rsidRPr="00033449">
              <w:rPr>
                <w:rFonts w:ascii="Times New Roman" w:eastAsia="Times New Roman" w:hAnsi="Times New Roman" w:cs="Times New Roman"/>
                <w:color w:val="000000" w:themeColor="text1"/>
                <w:spacing w:val="3"/>
                <w:sz w:val="18"/>
                <w:szCs w:val="18"/>
              </w:rPr>
              <w:t xml:space="preserve"> /202</w:t>
            </w:r>
            <w:r w:rsidR="002C221A">
              <w:rPr>
                <w:rFonts w:ascii="Times New Roman" w:eastAsia="Times New Roman" w:hAnsi="Times New Roman" w:cs="Times New Roman"/>
                <w:color w:val="000000" w:themeColor="text1"/>
                <w:spacing w:val="3"/>
                <w:sz w:val="18"/>
                <w:szCs w:val="18"/>
                <w:lang w:bidi="ar-IQ"/>
              </w:rPr>
              <w:t>3</w:t>
            </w:r>
          </w:p>
          <w:p w14:paraId="1CE9C380" w14:textId="19A72A95" w:rsidR="00DC0CC2" w:rsidRPr="00033449" w:rsidRDefault="00DC0CC2" w:rsidP="002C221A">
            <w:pPr>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Accepted:  </w:t>
            </w:r>
            <w:r w:rsidR="002C221A">
              <w:rPr>
                <w:rFonts w:ascii="Times New Roman" w:eastAsia="Times New Roman" w:hAnsi="Times New Roman" w:cs="Times New Roman"/>
                <w:color w:val="000000" w:themeColor="text1"/>
                <w:spacing w:val="3"/>
                <w:sz w:val="18"/>
                <w:szCs w:val="18"/>
              </w:rPr>
              <w:t>13</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2C221A">
              <w:rPr>
                <w:rFonts w:ascii="Times New Roman" w:eastAsia="Times New Roman" w:hAnsi="Times New Roman" w:cs="Times New Roman"/>
                <w:color w:val="000000" w:themeColor="text1"/>
                <w:spacing w:val="3"/>
                <w:sz w:val="18"/>
                <w:szCs w:val="18"/>
              </w:rPr>
              <w:t>08</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p w14:paraId="4EFDC81C" w14:textId="7F0E282D" w:rsidR="00DC0CC2" w:rsidRPr="00033449" w:rsidRDefault="00DC0CC2" w:rsidP="003F0316">
            <w:pPr>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Available online: </w:t>
            </w:r>
            <w:r w:rsidR="003F0316">
              <w:rPr>
                <w:rFonts w:ascii="Times New Roman" w:eastAsia="Times New Roman" w:hAnsi="Times New Roman" w:cs="Times New Roman"/>
                <w:color w:val="000000" w:themeColor="text1"/>
                <w:spacing w:val="3"/>
                <w:sz w:val="18"/>
                <w:szCs w:val="18"/>
              </w:rPr>
              <w:t>18</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2C221A">
              <w:rPr>
                <w:rFonts w:ascii="Times New Roman" w:eastAsia="Times New Roman" w:hAnsi="Times New Roman" w:cs="Times New Roman"/>
                <w:color w:val="000000" w:themeColor="text1"/>
                <w:spacing w:val="3"/>
                <w:sz w:val="18"/>
                <w:szCs w:val="18"/>
              </w:rPr>
              <w:t>12</w:t>
            </w:r>
            <w:r w:rsidRPr="00033449">
              <w:rPr>
                <w:rFonts w:ascii="Times New Roman" w:eastAsia="Times New Roman" w:hAnsi="Times New Roman" w:cs="Times New Roman"/>
                <w:color w:val="000000" w:themeColor="text1"/>
                <w:spacing w:val="3"/>
                <w:sz w:val="18"/>
                <w:szCs w:val="18"/>
              </w:rPr>
              <w:t xml:space="preserve"> / 202</w:t>
            </w:r>
            <w:r w:rsidR="002C221A">
              <w:rPr>
                <w:rFonts w:ascii="Times New Roman" w:eastAsia="Times New Roman" w:hAnsi="Times New Roman" w:cs="Times New Roman"/>
                <w:color w:val="000000" w:themeColor="text1"/>
                <w:spacing w:val="3"/>
                <w:sz w:val="18"/>
                <w:szCs w:val="18"/>
              </w:rPr>
              <w:t>3</w:t>
            </w:r>
          </w:p>
          <w:p w14:paraId="78F2C65D" w14:textId="77777777" w:rsidR="00DC0CC2" w:rsidRPr="000D0FDD" w:rsidRDefault="00DC0CC2" w:rsidP="00DC0CC2">
            <w:pPr>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DC0CC2" w:rsidRPr="000D0FDD" w14:paraId="7A11B934" w14:textId="77777777" w:rsidTr="00DC0CC2">
              <w:trPr>
                <w:trHeight w:val="211"/>
              </w:trPr>
              <w:tc>
                <w:tcPr>
                  <w:tcW w:w="3208" w:type="dxa"/>
                  <w:vAlign w:val="center"/>
                  <w:hideMark/>
                </w:tcPr>
                <w:p w14:paraId="14B0E914" w14:textId="77777777" w:rsidR="00DC0CC2" w:rsidRPr="00A745B2" w:rsidRDefault="00DC0CC2" w:rsidP="00DC0CC2">
                  <w:pPr>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Pr>
                      <w:rFonts w:ascii="Times New Roman" w:eastAsia="Times New Roman" w:hAnsi="Times New Roman" w:cs="Times New Roman" w:hint="cs"/>
                      <w:color w:val="0070C0"/>
                      <w:spacing w:val="3"/>
                      <w:sz w:val="18"/>
                      <w:szCs w:val="18"/>
                      <w:rtl/>
                    </w:rPr>
                    <w:t>000000000000000000000</w:t>
                  </w:r>
                </w:p>
                <w:p w14:paraId="61EA7184" w14:textId="77777777" w:rsidR="00DC0CC2" w:rsidRPr="000D0FDD" w:rsidRDefault="00DC0CC2" w:rsidP="00DC0CC2">
                  <w:pPr>
                    <w:rPr>
                      <w:rFonts w:ascii="Times New Roman" w:eastAsia="Times New Roman" w:hAnsi="Times New Roman" w:cs="Times New Roman"/>
                      <w:color w:val="000000" w:themeColor="text1"/>
                      <w:spacing w:val="3"/>
                      <w:sz w:val="14"/>
                      <w:szCs w:val="14"/>
                    </w:rPr>
                  </w:pPr>
                </w:p>
              </w:tc>
            </w:tr>
          </w:tbl>
          <w:p w14:paraId="14FB0172" w14:textId="77777777" w:rsidR="00DC0CC2" w:rsidRPr="000D0FDD" w:rsidRDefault="00DC0CC2" w:rsidP="00DC0CC2">
            <w:pPr>
              <w:rPr>
                <w:rFonts w:ascii="Times New Roman" w:eastAsia="Times New Roman" w:hAnsi="Times New Roman" w:cs="Times New Roman"/>
                <w:color w:val="000000" w:themeColor="text1"/>
                <w:spacing w:val="3"/>
                <w:sz w:val="14"/>
                <w:szCs w:val="14"/>
              </w:rPr>
            </w:pPr>
          </w:p>
        </w:tc>
        <w:tc>
          <w:tcPr>
            <w:tcW w:w="241" w:type="dxa"/>
          </w:tcPr>
          <w:p w14:paraId="7C732822" w14:textId="77777777" w:rsidR="00DC0CC2" w:rsidRPr="000D0FDD" w:rsidRDefault="00DC0CC2" w:rsidP="00DC0CC2">
            <w:pPr>
              <w:rPr>
                <w:rFonts w:asciiTheme="majorBidi" w:eastAsia="Times New Roman" w:hAnsiTheme="majorBidi" w:cstheme="majorBidi"/>
                <w:color w:val="000000" w:themeColor="text1"/>
                <w:spacing w:val="3"/>
                <w:sz w:val="14"/>
                <w:szCs w:val="14"/>
              </w:rPr>
            </w:pPr>
          </w:p>
        </w:tc>
        <w:tc>
          <w:tcPr>
            <w:tcW w:w="7677" w:type="dxa"/>
            <w:gridSpan w:val="2"/>
            <w:vMerge w:val="restart"/>
          </w:tcPr>
          <w:p w14:paraId="68D7A99E" w14:textId="1696222E" w:rsidR="00DC0CC2" w:rsidRPr="00F3192A" w:rsidRDefault="00DC0CC2" w:rsidP="00DC0CC2">
            <w:pPr>
              <w:autoSpaceDE w:val="0"/>
              <w:autoSpaceDN w:val="0"/>
              <w:adjustRightInd w:val="0"/>
              <w:spacing w:line="276" w:lineRule="auto"/>
              <w:jc w:val="both"/>
              <w:rPr>
                <w:rFonts w:asciiTheme="majorBidi" w:hAnsiTheme="majorBidi" w:cstheme="majorBidi"/>
                <w:sz w:val="20"/>
                <w:szCs w:val="20"/>
              </w:rPr>
            </w:pPr>
            <w:r>
              <w:rPr>
                <w:rFonts w:asciiTheme="majorBidi" w:hAnsiTheme="majorBidi" w:cstheme="majorBidi"/>
                <w:color w:val="000000" w:themeColor="text1"/>
                <w:sz w:val="20"/>
                <w:szCs w:val="20"/>
              </w:rPr>
              <w:t xml:space="preserve">     </w:t>
            </w:r>
            <w:r>
              <w:rPr>
                <w:rFonts w:asciiTheme="majorBidi" w:hAnsiTheme="majorBidi" w:cstheme="majorBidi"/>
                <w:sz w:val="20"/>
                <w:szCs w:val="20"/>
              </w:rPr>
              <w:t xml:space="preserve">   </w:t>
            </w:r>
            <w:r w:rsidRPr="00F3192A">
              <w:rPr>
                <w:rFonts w:asciiTheme="majorBidi" w:hAnsiTheme="majorBidi" w:cstheme="majorBidi"/>
                <w:sz w:val="20"/>
                <w:szCs w:val="20"/>
              </w:rPr>
              <w:t xml:space="preserve"> </w:t>
            </w:r>
            <w:r w:rsidRPr="00DA60A8">
              <w:rPr>
                <w:rFonts w:ascii="Times New Roman" w:eastAsia="TimesNewRoman" w:hAnsi="Times New Roman" w:cs="Times New Roman"/>
                <w:sz w:val="20"/>
                <w:szCs w:val="20"/>
              </w:rPr>
              <w:t>Thyroid dysfunctions (TDs) are the most common endocrine diseases, especially in women. Phrase "thyroid dysfunction" refers to a variety of diseases affecting the thyroid gland and its hormones.</w:t>
            </w:r>
            <w:r>
              <w:rPr>
                <w:rFonts w:ascii="Times New Roman" w:eastAsia="TimesNewRoman" w:hAnsi="Times New Roman" w:cs="Times New Roman"/>
                <w:sz w:val="20"/>
                <w:szCs w:val="20"/>
              </w:rPr>
              <w:t xml:space="preserve"> </w:t>
            </w:r>
            <w:r w:rsidRPr="00DA60A8">
              <w:rPr>
                <w:rFonts w:ascii="Times New Roman" w:eastAsia="TimesNewRoman" w:hAnsi="Times New Roman" w:cs="Times New Roman"/>
                <w:sz w:val="20"/>
                <w:szCs w:val="20"/>
              </w:rPr>
              <w:t xml:space="preserve">This study aims to compare serum </w:t>
            </w:r>
            <w:proofErr w:type="spellStart"/>
            <w:r w:rsidRPr="00DA60A8">
              <w:rPr>
                <w:rFonts w:ascii="Times New Roman" w:eastAsia="TimesNewRoman" w:hAnsi="Times New Roman" w:cs="Times New Roman"/>
                <w:sz w:val="20"/>
                <w:szCs w:val="20"/>
              </w:rPr>
              <w:t>neudesin</w:t>
            </w:r>
            <w:proofErr w:type="spellEnd"/>
            <w:r w:rsidRPr="00DA60A8">
              <w:rPr>
                <w:rFonts w:ascii="Times New Roman" w:eastAsia="TimesNewRoman" w:hAnsi="Times New Roman" w:cs="Times New Roman"/>
                <w:sz w:val="20"/>
                <w:szCs w:val="20"/>
              </w:rPr>
              <w:t xml:space="preserve"> levels and lipid profiles between people with and without thyroid dysfunction.</w:t>
            </w:r>
            <w:r w:rsidRPr="00DA60A8">
              <w:rPr>
                <w:rFonts w:ascii="Times New Roman" w:eastAsia="TimesNewRoman" w:hAnsi="Times New Roman" w:cs="Times New Roman"/>
                <w:b/>
                <w:bCs/>
                <w:sz w:val="20"/>
                <w:szCs w:val="20"/>
              </w:rPr>
              <w:t xml:space="preserve"> </w:t>
            </w:r>
            <w:r w:rsidRPr="00DA60A8">
              <w:rPr>
                <w:rFonts w:ascii="Times New Roman" w:eastAsia="TimesNewRoman" w:hAnsi="Times New Roman" w:cs="Times New Roman"/>
                <w:sz w:val="20"/>
                <w:szCs w:val="20"/>
              </w:rPr>
              <w:t xml:space="preserve">Study involved 56 TDs patients from a medical laboratory and 28 healthy controls (HCs). </w:t>
            </w:r>
            <w:proofErr w:type="spellStart"/>
            <w:r w:rsidRPr="00DA60A8">
              <w:rPr>
                <w:rFonts w:ascii="Times New Roman" w:eastAsia="TimesNewRoman" w:hAnsi="Times New Roman" w:cs="Times New Roman"/>
                <w:sz w:val="20"/>
                <w:szCs w:val="20"/>
              </w:rPr>
              <w:t>Neudesin</w:t>
            </w:r>
            <w:proofErr w:type="spellEnd"/>
            <w:r w:rsidRPr="00DA60A8">
              <w:rPr>
                <w:rFonts w:ascii="Times New Roman" w:eastAsia="TimesNewRoman" w:hAnsi="Times New Roman" w:cs="Times New Roman"/>
                <w:sz w:val="20"/>
                <w:szCs w:val="20"/>
              </w:rPr>
              <w:t xml:space="preserve"> concentration in serum was assessed using an enzyme-linked </w:t>
            </w:r>
            <w:proofErr w:type="spellStart"/>
            <w:r w:rsidRPr="00DA60A8">
              <w:rPr>
                <w:rFonts w:ascii="Times New Roman" w:eastAsia="TimesNewRoman" w:hAnsi="Times New Roman" w:cs="Times New Roman"/>
                <w:sz w:val="20"/>
                <w:szCs w:val="20"/>
              </w:rPr>
              <w:t>immunosorbent</w:t>
            </w:r>
            <w:proofErr w:type="spellEnd"/>
            <w:r w:rsidRPr="00DA60A8">
              <w:rPr>
                <w:rFonts w:ascii="Times New Roman" w:eastAsia="TimesNewRoman" w:hAnsi="Times New Roman" w:cs="Times New Roman"/>
                <w:sz w:val="20"/>
                <w:szCs w:val="20"/>
              </w:rPr>
              <w:t xml:space="preserve"> test (ELISA), whilst triglycerides (TGs), total cholesterol (T. Cho), High-density lipoprotein cholesterol (HDL-C) and total cholesterol levels were measured using enzyme </w:t>
            </w:r>
            <w:proofErr w:type="spellStart"/>
            <w:r w:rsidRPr="00DA60A8">
              <w:rPr>
                <w:rFonts w:ascii="Times New Roman" w:eastAsia="TimesNewRoman" w:hAnsi="Times New Roman" w:cs="Times New Roman"/>
                <w:sz w:val="20"/>
                <w:szCs w:val="20"/>
              </w:rPr>
              <w:t>colorimetry</w:t>
            </w:r>
            <w:proofErr w:type="spellEnd"/>
            <w:r w:rsidRPr="00DA60A8">
              <w:rPr>
                <w:rFonts w:ascii="Times New Roman" w:eastAsia="TimesNewRoman" w:hAnsi="Times New Roman" w:cs="Times New Roman"/>
                <w:sz w:val="20"/>
                <w:szCs w:val="20"/>
              </w:rPr>
              <w:t xml:space="preserve">. Serum level of  </w:t>
            </w:r>
            <w:proofErr w:type="spellStart"/>
            <w:r w:rsidRPr="00DA60A8">
              <w:rPr>
                <w:rFonts w:ascii="Times New Roman" w:eastAsia="TimesNewRoman" w:hAnsi="Times New Roman" w:cs="Times New Roman"/>
                <w:sz w:val="20"/>
                <w:szCs w:val="20"/>
              </w:rPr>
              <w:t>neudesin</w:t>
            </w:r>
            <w:proofErr w:type="spellEnd"/>
            <w:r w:rsidRPr="00DA60A8">
              <w:rPr>
                <w:rFonts w:ascii="Times New Roman" w:eastAsia="TimesNewRoman" w:hAnsi="Times New Roman" w:cs="Times New Roman"/>
                <w:sz w:val="20"/>
                <w:szCs w:val="20"/>
              </w:rPr>
              <w:t xml:space="preserve"> was lower in thyroid dysfunction patients than in HCs (P&lt; 0.000l), </w:t>
            </w:r>
            <w:proofErr w:type="spellStart"/>
            <w:r w:rsidRPr="00DA60A8">
              <w:rPr>
                <w:rFonts w:ascii="Times New Roman" w:eastAsia="TimesNewRoman" w:hAnsi="Times New Roman" w:cs="Times New Roman"/>
                <w:sz w:val="20"/>
                <w:szCs w:val="20"/>
              </w:rPr>
              <w:t>neudesin</w:t>
            </w:r>
            <w:proofErr w:type="spellEnd"/>
            <w:r w:rsidRPr="00DA60A8">
              <w:rPr>
                <w:rFonts w:ascii="Times New Roman" w:eastAsia="TimesNewRoman" w:hAnsi="Times New Roman" w:cs="Times New Roman"/>
                <w:sz w:val="20"/>
                <w:szCs w:val="20"/>
              </w:rPr>
              <w:t xml:space="preserve"> has an important negative correlation with TGs, HDL, and very low-density lipoprotein (VLDL)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(P&lt; 0.000l), while it showed a positive correlation with low-density lipoprotein (LDL)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xml:space="preserve">) (P &lt; 0.000l). Studied parameters showed of the areas under the receiver operating characteristic (AUROC) curve hypothyroidism and hyperthyroidism, respectively: </w:t>
            </w:r>
            <w:proofErr w:type="spellStart"/>
            <w:r w:rsidRPr="00DA60A8">
              <w:rPr>
                <w:rFonts w:ascii="Times New Roman" w:eastAsia="TimesNewRoman" w:hAnsi="Times New Roman" w:cs="Times New Roman"/>
                <w:sz w:val="20"/>
                <w:szCs w:val="20"/>
              </w:rPr>
              <w:t>Neudesin</w:t>
            </w:r>
            <w:proofErr w:type="spellEnd"/>
            <w:r w:rsidRPr="00DA60A8">
              <w:rPr>
                <w:rFonts w:ascii="Times New Roman" w:eastAsia="TimesNewRoman" w:hAnsi="Times New Roman" w:cs="Times New Roman"/>
                <w:sz w:val="20"/>
                <w:szCs w:val="20"/>
              </w:rPr>
              <w:t xml:space="preserve"> (0.8017 and 0.9043 </w:t>
            </w:r>
            <w:proofErr w:type="spellStart"/>
            <w:r w:rsidRPr="00DA60A8">
              <w:rPr>
                <w:rFonts w:ascii="Times New Roman" w:eastAsia="TimesNewRoman" w:hAnsi="Times New Roman" w:cs="Times New Roman"/>
                <w:sz w:val="20"/>
                <w:szCs w:val="20"/>
              </w:rPr>
              <w:t>ng</w:t>
            </w:r>
            <w:proofErr w:type="spellEnd"/>
            <w:r w:rsidRPr="00DA60A8">
              <w:rPr>
                <w:rFonts w:ascii="Times New Roman" w:eastAsia="TimesNewRoman" w:hAnsi="Times New Roman" w:cs="Times New Roman"/>
                <w:sz w:val="20"/>
                <w:szCs w:val="20"/>
              </w:rPr>
              <w:t>/mL), HDL (0.677 and 0.5708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xml:space="preserve">), </w:t>
            </w:r>
            <w:proofErr w:type="spellStart"/>
            <w:r w:rsidRPr="00DA60A8">
              <w:rPr>
                <w:rFonts w:ascii="Times New Roman" w:eastAsia="TimesNewRoman" w:hAnsi="Times New Roman" w:cs="Times New Roman"/>
                <w:sz w:val="20"/>
                <w:szCs w:val="20"/>
              </w:rPr>
              <w:t>triiodothyronine</w:t>
            </w:r>
            <w:proofErr w:type="spellEnd"/>
            <w:r w:rsidRPr="00DA60A8">
              <w:rPr>
                <w:rFonts w:ascii="Times New Roman" w:eastAsia="TimesNewRoman" w:hAnsi="Times New Roman" w:cs="Times New Roman"/>
                <w:sz w:val="20"/>
                <w:szCs w:val="20"/>
              </w:rPr>
              <w:t xml:space="preserve"> (T3) (0.8578 and 1 </w:t>
            </w:r>
            <w:proofErr w:type="spellStart"/>
            <w:r w:rsidRPr="00DA60A8">
              <w:rPr>
                <w:rFonts w:ascii="Times New Roman" w:eastAsia="TimesNewRoman" w:hAnsi="Times New Roman" w:cs="Times New Roman"/>
                <w:sz w:val="20"/>
                <w:szCs w:val="20"/>
              </w:rPr>
              <w:t>nmol</w:t>
            </w:r>
            <w:proofErr w:type="spellEnd"/>
            <w:r w:rsidRPr="00DA60A8">
              <w:rPr>
                <w:rFonts w:ascii="Times New Roman" w:eastAsia="TimesNewRoman" w:hAnsi="Times New Roman" w:cs="Times New Roman"/>
                <w:sz w:val="20"/>
                <w:szCs w:val="20"/>
              </w:rPr>
              <w:t xml:space="preserve">/L), </w:t>
            </w:r>
            <w:proofErr w:type="spellStart"/>
            <w:r w:rsidRPr="00DA60A8">
              <w:rPr>
                <w:rFonts w:ascii="Times New Roman" w:eastAsia="TimesNewRoman" w:hAnsi="Times New Roman" w:cs="Times New Roman"/>
                <w:sz w:val="20"/>
                <w:szCs w:val="20"/>
              </w:rPr>
              <w:t>thyroxine</w:t>
            </w:r>
            <w:proofErr w:type="spellEnd"/>
            <w:r w:rsidRPr="00DA60A8">
              <w:rPr>
                <w:rFonts w:ascii="Times New Roman" w:eastAsia="TimesNewRoman" w:hAnsi="Times New Roman" w:cs="Times New Roman"/>
                <w:sz w:val="20"/>
                <w:szCs w:val="20"/>
              </w:rPr>
              <w:t xml:space="preserve"> (T4) (0.9872 and 1 </w:t>
            </w:r>
            <w:proofErr w:type="spellStart"/>
            <w:r w:rsidRPr="00DA60A8">
              <w:rPr>
                <w:rFonts w:ascii="Times New Roman" w:eastAsia="TimesNewRoman" w:hAnsi="Times New Roman" w:cs="Times New Roman"/>
                <w:sz w:val="20"/>
                <w:szCs w:val="20"/>
              </w:rPr>
              <w:t>nmol</w:t>
            </w:r>
            <w:proofErr w:type="spellEnd"/>
            <w:r w:rsidRPr="00DA60A8">
              <w:rPr>
                <w:rFonts w:ascii="Times New Roman" w:eastAsia="TimesNewRoman" w:hAnsi="Times New Roman" w:cs="Times New Roman"/>
                <w:sz w:val="20"/>
                <w:szCs w:val="20"/>
              </w:rPr>
              <w:t xml:space="preserve">/L), thyroid-stimulating hormone (TSH) (0.9847 and 0.757 </w:t>
            </w:r>
            <w:proofErr w:type="spellStart"/>
            <w:r w:rsidRPr="00DA60A8">
              <w:rPr>
                <w:rFonts w:ascii="Times New Roman" w:eastAsia="TimesNewRoman" w:hAnsi="Times New Roman" w:cs="Times New Roman"/>
                <w:sz w:val="20"/>
                <w:szCs w:val="20"/>
              </w:rPr>
              <w:t>mIU</w:t>
            </w:r>
            <w:proofErr w:type="spellEnd"/>
            <w:r w:rsidRPr="00DA60A8">
              <w:rPr>
                <w:rFonts w:ascii="Times New Roman" w:eastAsia="TimesNewRoman" w:hAnsi="Times New Roman" w:cs="Times New Roman"/>
                <w:sz w:val="20"/>
                <w:szCs w:val="20"/>
              </w:rPr>
              <w:t>/mL), T. Cho. (0.909 and 0.6645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TGs (0.944 and 0.669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VLDL (0.942 and 0.669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and LDL (0.872 and 0.7526 mg/</w:t>
            </w:r>
            <w:proofErr w:type="spellStart"/>
            <w:r w:rsidRPr="00DA60A8">
              <w:rPr>
                <w:rFonts w:ascii="Times New Roman" w:eastAsia="TimesNewRoman" w:hAnsi="Times New Roman" w:cs="Times New Roman"/>
                <w:sz w:val="20"/>
                <w:szCs w:val="20"/>
              </w:rPr>
              <w:t>dL</w:t>
            </w:r>
            <w:proofErr w:type="spellEnd"/>
            <w:r w:rsidRPr="00DA60A8">
              <w:rPr>
                <w:rFonts w:ascii="Times New Roman" w:eastAsia="TimesNewRoman" w:hAnsi="Times New Roman" w:cs="Times New Roman"/>
                <w:sz w:val="20"/>
                <w:szCs w:val="20"/>
              </w:rPr>
              <w:t xml:space="preserve">). Present study found serum levels of </w:t>
            </w:r>
            <w:proofErr w:type="spellStart"/>
            <w:r w:rsidRPr="00DA60A8">
              <w:rPr>
                <w:rFonts w:ascii="Times New Roman" w:eastAsia="TimesNewRoman" w:hAnsi="Times New Roman" w:cs="Times New Roman"/>
                <w:sz w:val="20"/>
                <w:szCs w:val="20"/>
              </w:rPr>
              <w:t>neudesin</w:t>
            </w:r>
            <w:proofErr w:type="spellEnd"/>
            <w:r w:rsidRPr="00DA60A8">
              <w:rPr>
                <w:rFonts w:ascii="Times New Roman" w:eastAsia="TimesNewRoman" w:hAnsi="Times New Roman" w:cs="Times New Roman"/>
                <w:sz w:val="20"/>
                <w:szCs w:val="20"/>
              </w:rPr>
              <w:t xml:space="preserve"> showed a negative correlation with </w:t>
            </w:r>
            <w:proofErr w:type="spellStart"/>
            <w:r w:rsidRPr="00DA60A8">
              <w:rPr>
                <w:rFonts w:ascii="Times New Roman" w:eastAsia="TimesNewRoman" w:hAnsi="Times New Roman" w:cs="Times New Roman"/>
                <w:sz w:val="20"/>
                <w:szCs w:val="20"/>
              </w:rPr>
              <w:t>T.Cho</w:t>
            </w:r>
            <w:proofErr w:type="spellEnd"/>
            <w:r w:rsidRPr="00DA60A8">
              <w:rPr>
                <w:rFonts w:ascii="Times New Roman" w:eastAsia="TimesNewRoman" w:hAnsi="Times New Roman" w:cs="Times New Roman"/>
                <w:sz w:val="20"/>
                <w:szCs w:val="20"/>
              </w:rPr>
              <w:t>, and LDL in hyperthyroidism patients while showing a negative correlation with triglycerides and VLDL in hypothyroidism patients</w:t>
            </w:r>
            <w:r w:rsidRPr="008E0486">
              <w:rPr>
                <w:rFonts w:asciiTheme="majorBidi" w:hAnsiTheme="majorBidi" w:cstheme="majorBidi"/>
                <w:sz w:val="20"/>
                <w:szCs w:val="20"/>
              </w:rPr>
              <w:t>.</w:t>
            </w:r>
          </w:p>
          <w:p w14:paraId="3493099C" w14:textId="77777777" w:rsidR="00DC0CC2" w:rsidRPr="000D0FDD" w:rsidRDefault="00DC0CC2" w:rsidP="00DC0CC2">
            <w:pPr>
              <w:autoSpaceDE w:val="0"/>
              <w:autoSpaceDN w:val="0"/>
              <w:adjustRightInd w:val="0"/>
              <w:jc w:val="both"/>
              <w:rPr>
                <w:rFonts w:ascii="Times New Roman" w:hAnsi="Times New Roman" w:cs="Times New Roman"/>
                <w:color w:val="000000" w:themeColor="text1"/>
                <w:sz w:val="20"/>
                <w:szCs w:val="20"/>
              </w:rPr>
            </w:pPr>
            <w:r w:rsidRPr="000D0FDD">
              <w:rPr>
                <w:rFonts w:asciiTheme="majorBidi" w:hAnsiTheme="majorBidi" w:cstheme="majorBidi"/>
                <w:color w:val="000000" w:themeColor="text1"/>
                <w:sz w:val="20"/>
                <w:szCs w:val="20"/>
              </w:rPr>
              <w:t>.</w:t>
            </w:r>
          </w:p>
        </w:tc>
      </w:tr>
      <w:tr w:rsidR="00DC0CC2" w:rsidRPr="000D0FDD" w14:paraId="7D94E6BF" w14:textId="77777777" w:rsidTr="00DC0CC2">
        <w:tblPrEx>
          <w:tblCellMar>
            <w:left w:w="108" w:type="dxa"/>
            <w:right w:w="108" w:type="dxa"/>
          </w:tblCellMar>
          <w:tblLook w:val="04A0" w:firstRow="1" w:lastRow="0" w:firstColumn="1" w:lastColumn="0" w:noHBand="0" w:noVBand="1"/>
        </w:tblPrEx>
        <w:trPr>
          <w:trHeight w:hRule="exact" w:val="4093"/>
        </w:trPr>
        <w:tc>
          <w:tcPr>
            <w:tcW w:w="3060" w:type="dxa"/>
            <w:gridSpan w:val="2"/>
          </w:tcPr>
          <w:p w14:paraId="63EE36E8" w14:textId="77777777" w:rsidR="00DC0CC2" w:rsidRPr="00033449" w:rsidRDefault="00DC0CC2" w:rsidP="00DC0CC2">
            <w:pPr>
              <w:widowControl w:val="0"/>
              <w:kinsoku w:val="0"/>
              <w:rPr>
                <w:rFonts w:ascii="Times New Roman" w:eastAsia="Times New Roman" w:hAnsi="Times New Roman" w:cs="Times New Roman"/>
                <w:b/>
                <w:bCs/>
                <w:color w:val="000000" w:themeColor="text1"/>
                <w:spacing w:val="3"/>
                <w:sz w:val="18"/>
                <w:szCs w:val="18"/>
              </w:rPr>
            </w:pPr>
            <w:r w:rsidRPr="00033449">
              <w:rPr>
                <w:rFonts w:ascii="Times New Roman" w:eastAsia="Times New Roman" w:hAnsi="Times New Roman" w:cs="Times New Roman"/>
                <w:b/>
                <w:bCs/>
                <w:color w:val="000000" w:themeColor="text1"/>
                <w:spacing w:val="3"/>
                <w:sz w:val="18"/>
                <w:szCs w:val="18"/>
              </w:rPr>
              <w:t>Keywords:</w:t>
            </w:r>
          </w:p>
          <w:p w14:paraId="44BD5047" w14:textId="3904E6CB" w:rsidR="00DC0CC2" w:rsidRPr="008E0486" w:rsidRDefault="00DC0CC2" w:rsidP="00DC0CC2">
            <w:pPr>
              <w:jc w:val="both"/>
              <w:rPr>
                <w:rFonts w:asciiTheme="majorBidi" w:hAnsiTheme="majorBidi" w:cstheme="majorBidi"/>
                <w:i/>
                <w:iCs/>
                <w:sz w:val="18"/>
                <w:szCs w:val="18"/>
              </w:rPr>
            </w:pPr>
            <w:r>
              <w:rPr>
                <w:noProof/>
              </w:rPr>
              <mc:AlternateContent>
                <mc:Choice Requires="wps">
                  <w:drawing>
                    <wp:anchor distT="0" distB="0" distL="114300" distR="114300" simplePos="0" relativeHeight="251664896" behindDoc="0" locked="0" layoutInCell="1" allowOverlap="1" wp14:anchorId="3AAEE734" wp14:editId="0C16DF21">
                      <wp:simplePos x="0" y="0"/>
                      <wp:positionH relativeFrom="column">
                        <wp:posOffset>-193040</wp:posOffset>
                      </wp:positionH>
                      <wp:positionV relativeFrom="paragraph">
                        <wp:posOffset>1059180</wp:posOffset>
                      </wp:positionV>
                      <wp:extent cx="1933575" cy="1257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933575" cy="1257300"/>
                              </a:xfrm>
                              <a:prstGeom prst="rect">
                                <a:avLst/>
                              </a:prstGeom>
                              <a:solidFill>
                                <a:schemeClr val="lt1"/>
                              </a:solidFill>
                              <a:ln w="6350">
                                <a:noFill/>
                              </a:ln>
                            </wps:spPr>
                            <wps:txbx>
                              <w:txbxContent>
                                <w:p w14:paraId="65EFD120" w14:textId="77777777" w:rsidR="00DC0CC2" w:rsidRPr="00BB016F" w:rsidRDefault="00DC0CC2" w:rsidP="00DC0CC2">
                                  <w:pPr>
                                    <w:jc w:val="both"/>
                                    <w:rPr>
                                      <w:rFonts w:asciiTheme="majorBidi" w:hAnsiTheme="majorBidi" w:cstheme="majorBidi"/>
                                      <w:sz w:val="13"/>
                                      <w:szCs w:val="13"/>
                                    </w:rPr>
                                  </w:pPr>
                                  <w:proofErr w:type="spellStart"/>
                                  <w:r w:rsidRPr="00033449">
                                    <w:rPr>
                                      <w:rFonts w:cstheme="majorBidi"/>
                                      <w:sz w:val="16"/>
                                      <w:szCs w:val="16"/>
                                    </w:rPr>
                                    <w:t>Copyright©Authors</w:t>
                                  </w:r>
                                  <w:proofErr w:type="spellEnd"/>
                                  <w:r w:rsidRPr="00033449">
                                    <w:rPr>
                                      <w:rFonts w:cstheme="majorBidi"/>
                                      <w:sz w:val="16"/>
                                      <w:szCs w:val="16"/>
                                    </w:rPr>
                                    <w:t>, 2022, College of Sciences, University of Anbar. This is an open-access article under the CC BY 4.0 license</w:t>
                                  </w:r>
                                  <w:r w:rsidRPr="00033449">
                                    <w:rPr>
                                      <w:rFonts w:asciiTheme="majorBidi" w:hAnsiTheme="majorBidi" w:cstheme="majorBidi"/>
                                      <w:sz w:val="16"/>
                                      <w:szCs w:val="16"/>
                                    </w:rPr>
                                    <w:t xml:space="preserve"> (</w:t>
                                  </w:r>
                                  <w:hyperlink r:id="rId10" w:history="1">
                                    <w:r w:rsidRPr="00033449">
                                      <w:rPr>
                                        <w:rStyle w:val="Hyperlink"/>
                                        <w:rFonts w:asciiTheme="majorBidi" w:hAnsiTheme="majorBidi" w:cstheme="majorBidi"/>
                                        <w:sz w:val="16"/>
                                        <w:szCs w:val="16"/>
                                      </w:rPr>
                                      <w:t xml:space="preserve">http://creativecommons.org/licens </w:t>
                                    </w:r>
                                    <w:proofErr w:type="spellStart"/>
                                    <w:r w:rsidRPr="00033449">
                                      <w:rPr>
                                        <w:rStyle w:val="Hyperlink"/>
                                        <w:rFonts w:asciiTheme="majorBidi" w:hAnsiTheme="majorBidi" w:cstheme="majorBidi"/>
                                        <w:sz w:val="16"/>
                                        <w:szCs w:val="16"/>
                                      </w:rPr>
                                      <w:t>es</w:t>
                                    </w:r>
                                    <w:proofErr w:type="spellEnd"/>
                                    <w:r w:rsidRPr="00033449">
                                      <w:rPr>
                                        <w:rStyle w:val="Hyperlink"/>
                                        <w:rFonts w:asciiTheme="majorBidi" w:hAnsiTheme="majorBidi" w:cstheme="majorBidi"/>
                                        <w:sz w:val="16"/>
                                        <w:szCs w:val="16"/>
                                      </w:rPr>
                                      <w:t>/by/4.0/</w:t>
                                    </w:r>
                                  </w:hyperlink>
                                  <w:r w:rsidRPr="00BB016F">
                                    <w:rPr>
                                      <w:rFonts w:asciiTheme="majorBidi" w:hAnsiTheme="majorBidi" w:cstheme="majorBidi"/>
                                      <w:sz w:val="13"/>
                                      <w:szCs w:val="13"/>
                                    </w:rPr>
                                    <w:t>).</w:t>
                                  </w:r>
                                </w:p>
                                <w:p w14:paraId="3C369B15" w14:textId="77777777" w:rsidR="00DC0CC2" w:rsidRPr="00BB016F" w:rsidRDefault="00DC0CC2" w:rsidP="00DC0CC2">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0A39F8BD" wp14:editId="6D08173D">
                                        <wp:extent cx="984235" cy="342900"/>
                                        <wp:effectExtent l="0" t="0" r="698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2pt;margin-top:83.4pt;width:152.25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" fillcolor="white [3201]" stroked="f" strokeweight=".5pt">
                      <v:textbox>
                        <w:txbxContent>
                          <w:p w14:paraId="65EFD120" w14:textId="77777777" w:rsidR="00DC0CC2" w:rsidRPr="00BB016F" w:rsidRDefault="00DC0CC2" w:rsidP="00DC0CC2">
                            <w:pPr>
                              <w:jc w:val="both"/>
                              <w:rPr>
                                <w:rFonts w:asciiTheme="majorBidi" w:hAnsiTheme="majorBidi" w:cstheme="majorBidi"/>
                                <w:sz w:val="13"/>
                                <w:szCs w:val="13"/>
                              </w:rPr>
                            </w:pPr>
                            <w:proofErr w:type="spellStart"/>
                            <w:r w:rsidRPr="00033449">
                              <w:rPr>
                                <w:rFonts w:cstheme="majorBidi"/>
                                <w:sz w:val="16"/>
                                <w:szCs w:val="16"/>
                              </w:rPr>
                              <w:t>Copyright©Authors</w:t>
                            </w:r>
                            <w:proofErr w:type="spellEnd"/>
                            <w:r w:rsidRPr="00033449">
                              <w:rPr>
                                <w:rFonts w:cstheme="majorBidi"/>
                                <w:sz w:val="16"/>
                                <w:szCs w:val="16"/>
                              </w:rPr>
                              <w:t>, 2022, College of Sciences, University of Anbar. This is an open-access article under the CC BY 4.0 license</w:t>
                            </w:r>
                            <w:r w:rsidRPr="00033449">
                              <w:rPr>
                                <w:rFonts w:asciiTheme="majorBidi" w:hAnsiTheme="majorBidi" w:cstheme="majorBidi"/>
                                <w:sz w:val="16"/>
                                <w:szCs w:val="16"/>
                              </w:rPr>
                              <w:t xml:space="preserve"> (</w:t>
                            </w:r>
                            <w:hyperlink r:id="rId12" w:history="1">
                              <w:r w:rsidRPr="00033449">
                                <w:rPr>
                                  <w:rStyle w:val="Hyperlink"/>
                                  <w:rFonts w:asciiTheme="majorBidi" w:hAnsiTheme="majorBidi" w:cstheme="majorBidi"/>
                                  <w:sz w:val="16"/>
                                  <w:szCs w:val="16"/>
                                </w:rPr>
                                <w:t xml:space="preserve">http://creativecommons.org/licens </w:t>
                              </w:r>
                              <w:proofErr w:type="spellStart"/>
                              <w:r w:rsidRPr="00033449">
                                <w:rPr>
                                  <w:rStyle w:val="Hyperlink"/>
                                  <w:rFonts w:asciiTheme="majorBidi" w:hAnsiTheme="majorBidi" w:cstheme="majorBidi"/>
                                  <w:sz w:val="16"/>
                                  <w:szCs w:val="16"/>
                                </w:rPr>
                                <w:t>es</w:t>
                              </w:r>
                              <w:proofErr w:type="spellEnd"/>
                              <w:r w:rsidRPr="00033449">
                                <w:rPr>
                                  <w:rStyle w:val="Hyperlink"/>
                                  <w:rFonts w:asciiTheme="majorBidi" w:hAnsiTheme="majorBidi" w:cstheme="majorBidi"/>
                                  <w:sz w:val="16"/>
                                  <w:szCs w:val="16"/>
                                </w:rPr>
                                <w:t>/by/4.0/</w:t>
                              </w:r>
                            </w:hyperlink>
                            <w:r w:rsidRPr="00BB016F">
                              <w:rPr>
                                <w:rFonts w:asciiTheme="majorBidi" w:hAnsiTheme="majorBidi" w:cstheme="majorBidi"/>
                                <w:sz w:val="13"/>
                                <w:szCs w:val="13"/>
                              </w:rPr>
                              <w:t>).</w:t>
                            </w:r>
                          </w:p>
                          <w:p w14:paraId="3C369B15" w14:textId="77777777" w:rsidR="00DC0CC2" w:rsidRPr="00BB016F" w:rsidRDefault="00DC0CC2" w:rsidP="00DC0CC2">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0A39F8BD" wp14:editId="6D08173D">
                                  <wp:extent cx="984235" cy="342900"/>
                                  <wp:effectExtent l="0" t="0" r="698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v:textbox>
                    </v:shape>
                  </w:pict>
                </mc:Fallback>
              </mc:AlternateContent>
            </w:r>
            <w:r w:rsidRPr="00DC0CC2">
              <w:rPr>
                <w:rFonts w:ascii="Times New Roman" w:hAnsi="Times New Roman" w:cs="Times New Roman"/>
                <w:i/>
                <w:iCs/>
                <w:sz w:val="18"/>
                <w:szCs w:val="18"/>
              </w:rPr>
              <w:t>Hyperthyroidism, Hypothyroidism, Thyroid-Stimulating hormone, High-Density Lipoprotein cholesterol, Triglycerides</w:t>
            </w:r>
            <w:r>
              <w:rPr>
                <w:rFonts w:asciiTheme="majorBidi" w:hAnsiTheme="majorBidi" w:cstheme="majorBidi"/>
                <w:i/>
                <w:iCs/>
                <w:sz w:val="18"/>
                <w:szCs w:val="18"/>
              </w:rPr>
              <w:t>.</w:t>
            </w:r>
            <w:r>
              <w:rPr>
                <w:noProof/>
              </w:rPr>
              <w:t xml:space="preserve"> </w:t>
            </w:r>
          </w:p>
        </w:tc>
        <w:tc>
          <w:tcPr>
            <w:tcW w:w="241" w:type="dxa"/>
          </w:tcPr>
          <w:p w14:paraId="2DBD8025" w14:textId="77777777" w:rsidR="00DC0CC2" w:rsidRPr="000D0FDD" w:rsidRDefault="00DC0CC2" w:rsidP="00DC0CC2">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14:paraId="59E9E8CD" w14:textId="77777777" w:rsidR="00DC0CC2" w:rsidRPr="000D0FDD" w:rsidRDefault="00DC0CC2" w:rsidP="00DC0CC2">
            <w:pPr>
              <w:spacing w:before="36"/>
              <w:ind w:right="1836"/>
              <w:jc w:val="both"/>
              <w:rPr>
                <w:rFonts w:asciiTheme="majorBidi" w:hAnsiTheme="majorBidi" w:cstheme="majorBidi"/>
                <w:color w:val="000000" w:themeColor="text1"/>
                <w:spacing w:val="-2"/>
                <w:sz w:val="14"/>
                <w:szCs w:val="14"/>
              </w:rPr>
            </w:pPr>
          </w:p>
        </w:tc>
      </w:tr>
    </w:tbl>
    <w:p w14:paraId="60D8ADE4" w14:textId="7F54BBCF" w:rsidR="003760E2" w:rsidRDefault="003760E2" w:rsidP="00B33BBB">
      <w:r w:rsidRPr="001217E9">
        <w:rPr>
          <w:rFonts w:asciiTheme="majorBidi" w:hAnsiTheme="majorBidi" w:cstheme="majorBidi"/>
          <w:noProof/>
          <w:color w:val="000000" w:themeColor="text1"/>
        </w:rPr>
        <mc:AlternateContent>
          <mc:Choice Requires="wps">
            <w:drawing>
              <wp:anchor distT="0" distB="0" distL="114300" distR="114300" simplePos="0" relativeHeight="251663872" behindDoc="0" locked="0" layoutInCell="1" allowOverlap="1" wp14:anchorId="0F6304A9" wp14:editId="5BA1B3EE">
                <wp:simplePos x="0" y="0"/>
                <wp:positionH relativeFrom="column">
                  <wp:posOffset>-21590</wp:posOffset>
                </wp:positionH>
                <wp:positionV relativeFrom="paragraph">
                  <wp:posOffset>68580</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2CB1325" id="Straight Connector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4pt" to="53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" strokecolor="black [3200]" strokeweight="1.5pt">
                <v:stroke joinstyle="miter"/>
              </v:line>
            </w:pict>
          </mc:Fallback>
        </mc:AlternateContent>
      </w:r>
      <w:bookmarkStart w:id="1" w:name="_gjdgxs" w:colFirst="0" w:colLast="0"/>
      <w:bookmarkEnd w:id="1"/>
    </w:p>
    <w:p w14:paraId="684B951F" w14:textId="77777777" w:rsidR="00B33BBB" w:rsidRPr="00B33BBB" w:rsidRDefault="00B33BBB" w:rsidP="00B33BBB">
      <w:pPr>
        <w:sectPr w:rsidR="00B33BBB" w:rsidRPr="00B33BBB" w:rsidSect="00CE5986">
          <w:headerReference w:type="default" r:id="rId14"/>
          <w:footerReference w:type="default" r:id="rId15"/>
          <w:pgSz w:w="12240" w:h="15840"/>
          <w:pgMar w:top="680" w:right="765" w:bottom="652" w:left="709" w:header="720" w:footer="720" w:gutter="0"/>
          <w:pgNumType w:start="100"/>
          <w:cols w:space="720"/>
          <w:docGrid w:linePitch="360"/>
        </w:sectPr>
      </w:pPr>
    </w:p>
    <w:p w14:paraId="690D3FFE" w14:textId="7FB1BE26" w:rsidR="00400619" w:rsidRPr="003760E2" w:rsidRDefault="00400619" w:rsidP="00C91E7E">
      <w:pPr>
        <w:spacing w:line="360" w:lineRule="auto"/>
        <w:rPr>
          <w:vanish/>
          <w:sz w:val="2"/>
          <w:szCs w:val="2"/>
        </w:rPr>
      </w:pPr>
    </w:p>
    <w:p w14:paraId="66F5C8EB" w14:textId="77777777" w:rsidR="00CA26A9" w:rsidRPr="003760E2" w:rsidRDefault="00CA26A9" w:rsidP="00C91E7E">
      <w:pPr>
        <w:spacing w:line="360" w:lineRule="auto"/>
        <w:rPr>
          <w:rFonts w:ascii="Times New Roman" w:hAnsi="Times New Roman" w:cs="Times New Roman"/>
          <w:b/>
          <w:bCs/>
          <w:sz w:val="2"/>
          <w:szCs w:val="2"/>
        </w:rPr>
        <w:sectPr w:rsidR="00CA26A9" w:rsidRPr="003760E2" w:rsidSect="003760E2">
          <w:type w:val="continuous"/>
          <w:pgSz w:w="12240" w:h="15840"/>
          <w:pgMar w:top="680" w:right="765" w:bottom="652" w:left="709" w:header="720" w:footer="720" w:gutter="0"/>
          <w:cols w:num="2" w:space="720"/>
          <w:docGrid w:linePitch="360"/>
        </w:sectPr>
      </w:pPr>
    </w:p>
    <w:p w14:paraId="250E979F" w14:textId="7393E7DB" w:rsidR="00AD1C7C" w:rsidRPr="00DC0CC2" w:rsidRDefault="00045A8E" w:rsidP="00DC0CC2">
      <w:pPr>
        <w:pStyle w:val="a4"/>
        <w:spacing w:line="276" w:lineRule="auto"/>
        <w:ind w:left="0"/>
        <w:rPr>
          <w:rFonts w:ascii="Times New Roman" w:eastAsia="Times New Roman" w:hAnsi="Times New Roman" w:cs="Times New Roman"/>
          <w:b/>
          <w:bCs/>
          <w:lang w:bidi="ar-IQ"/>
        </w:rPr>
      </w:pPr>
      <w:r w:rsidRPr="00DC0CC2">
        <w:rPr>
          <w:rFonts w:ascii="Times New Roman" w:eastAsia="Times New Roman" w:hAnsi="Times New Roman" w:cs="Times New Roman"/>
          <w:b/>
          <w:bCs/>
          <w:lang w:bidi="ar-IQ"/>
        </w:rPr>
        <w:lastRenderedPageBreak/>
        <w:t>1. INTRODUCTION</w:t>
      </w:r>
    </w:p>
    <w:p w14:paraId="7BC3D8AE" w14:textId="77777777" w:rsidR="003760E2" w:rsidRDefault="00EF3FC0" w:rsidP="00DC0CC2">
      <w:pPr>
        <w:widowControl w:val="0"/>
        <w:autoSpaceDE w:val="0"/>
        <w:autoSpaceDN w:val="0"/>
        <w:adjustRightInd w:val="0"/>
        <w:spacing w:before="100" w:after="100" w:line="276" w:lineRule="auto"/>
        <w:ind w:firstLine="567"/>
        <w:jc w:val="both"/>
        <w:rPr>
          <w:rFonts w:asciiTheme="majorBidi" w:eastAsiaTheme="minorHAnsi" w:hAnsiTheme="majorBidi" w:cstheme="majorBidi"/>
          <w:kern w:val="2"/>
          <w:lang w:bidi="ar-IQ"/>
          <w14:ligatures w14:val="standardContextual"/>
        </w:rPr>
      </w:pPr>
      <w:r w:rsidRPr="00DC0CC2">
        <w:rPr>
          <w:rFonts w:asciiTheme="majorBidi" w:eastAsiaTheme="minorHAnsi" w:hAnsiTheme="majorBidi" w:cstheme="majorBidi"/>
          <w:kern w:val="2"/>
          <w:lang w:bidi="ar-IQ"/>
          <w14:ligatures w14:val="standardContextual"/>
        </w:rPr>
        <w:t xml:space="preserve">The thyroid gland is very important for controlling and keeping an eye on a person's growth and metabolism. Thyroid hormones are constantly put into the bloodstream in reaction to the body's needs. They help to control a number of complex biological processes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{"citationItems":[{"id":"ITEM-1","itemData":{"DOI":"10.3390/ani11041134","ISBN":"8643187836","ISSN":"20762615","abstract":"Mammalian reproduction is mainly driven and regulated by the hypothalamic-pituitary-gonadal (HPG) axis. Follicle-stimulating hormone (FSH), which is synthesized and secreted by the anterior pituitary gland, is a key regulator that ultimately affects animal fertility. As a dimeric glycoprotein hormone, the biological specificity of FSH is mainly determined by the β subunit. As research techniques are being continuously innovated, studies are exploring the underlying molecular mechanism regulating the secretion of mammalian FSH. This article will review the current knowledge on the molecular mechanisms and signaling pathways systematically regulating FSH synthesis and will present the latest hypothesis about the nuclear cross-talk among the various endocrine-induced pathways for transcriptional regulation of the FSH β subunit. This article will provide novel ideas and potential targets for the improved use of FSH in livestock breeding and therapeutic development.","author":[{"dropping-particle":"","family":"Wang","given":"Hao Qi","non-dropping-particle":"","parse-names":false,"suffix":""},{"dropping-particle":"Di","family":"Zhang","given":"Wei","non-dropping-particle":"","parse-names":false,"suffix":""},{"dropping-particle":"","family":"Yuan","given":"Bao","non-dropping-particle":"","parse-names":false,"suffix":""},{"dropping-particle":"","family":"Zhang","given":"Jia Bao","non-dropping-particle":"","parse-names":false,"suffix":""}],"container-title":"Animals","id":"ITEM-1","issue":"4","issued":{"date-parts":[["2021"]]},"title":"Advances in the regulation of mammalian follicle-stimulating hormone secretion","type":"article-journal","volume":"11"},"uris":["http://www.mendeley.com/documents/?uuid=75b8e836-0ef3-4bbf-96db-55c4266fca5f"]}],"mendeley":{"formattedCitation":"[1]","plainTextFormattedCitation":"[1]","previouslyFormattedCitation":"[1]"},"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[1]</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One of the most widespread endocrine problems is thyroid disease. Patients may experience major health effects, and they frequently need ongoing therapy and supervision </w:t>
      </w:r>
      <w:r w:rsidRPr="00DC0CC2">
        <w:rPr>
          <w:rFonts w:asciiTheme="majorBidi" w:eastAsiaTheme="minorHAnsi" w:hAnsiTheme="majorBidi" w:cstheme="majorBidi"/>
          <w:kern w:val="2"/>
          <w:vertAlign w:val="superscript"/>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{"citationItems":[{"id":"ITEM-1","itemData":{"DOI":"10.3390/healthcare10091621","ISSN":"22279032","abstract":"Thyroid cancer (TC) is the most common malignancy of the endocrine system that affects the thyroid gland. It is usually treatable and, in most cases, curable. The central issues are how to improve knowledge on TC, to accurately identify cases at an early stage that can benefit from effective intervention, optimise therapy, and reduce the risk of overdiagnosis and unnecessary treatment. Questions remain about management, about treating all patients in referral centres, and about which treatment should be proposed to any individual patient and how this can be optimised. The European Alliance for Personalised Medicine (EAPM) hosted an expert panel discussion to elucidate some of the challenges, and to identify possible steps towards effective responses at the EU and member state level, particularly in the context of the opportunities in the European Union’s evolving initiatives—notably its Beating Cancer Plan, its Cancer Mission, and its research funding programmes. Recommendations emerging from the panel focus on improved infrastructure and funding, and on promoting multi-stakeholder collaboration between national and European initiatives to complement, support, and mutually reinforce efforts to improve patient care.","author":[{"dropping-particle":"","family":"Horgan","given":"Denis","non-dropping-particle":"","parse-names":false,"suffix":""},{"dropping-particle":"","family":"Führer-Sakel","given":"Dagmar","non-dropping-particle":"","parse-names":false,"suffix":""},{"dropping-particle":"","family":"Soares","given":"Paula","non-dropping-particle":"","parse-names":false,"suffix":""},{"dropping-particle":"V.","family":"Alvarez","given":"Clara","non-dropping-particle":"","parse-names":false,"suffix":""},{"dropping-particle":"","family":"Fugazzola","given":"Laura","non-dropping-particle":"","parse-names":false,"suffix":""},{"dropping-particle":"","family":"Netea-Maier","given":"Romana T.","non-dropping-particle":"","parse-names":false,"suffix":""},{"dropping-particle":"","family":"Jarzab","given":"Barbara","non-dropping-particle":"","parse-names":false,"suffix":""},{"dropping-particle":"","family":"Kozaric","given":"Marta","non-dropping-particle":"","parse-names":false,"suffix":""},{"dropping-particle":"","family":"Bartes","given":"Beate","non-dropping-particle":"","parse-names":false,"suffix":""},{"dropping-particle":"","family":"Schuster-Bruce","given":"James","non-dropping-particle":"","parse-names":false,"suffix":""},{"dropping-particle":"","family":"Dal Maso","given":"Luigino","non-dropping-particle":"","parse-names":false,"suffix":""},{"dropping-particle":"","family":"Schlumberger","given":"Martin","non-dropping-particle":"","parse-names":false,"suffix":""},{"dropping-particle":"","family":"Pacini","given":"Furio","non-dropping-particle":"","parse-names":false,"suffix":""}],"container-title":"Healthcare (Switzerland)","id":"ITEM-1","issue":"9","issued":{"date-parts":[["2022"]]},"page":"1-13","title":"Tackling Thyroid Cancer in Europe—The Challenges and Opportunities","type":"article-journal","volume":"10"},"uris":["http://www.mendeley.com/documents/?uuid=45c86c82-b26e-4e8d-a773-8701ff82d281"]}],"mendeley":{"formattedCitation":"[2]","plainTextFormattedCitation":"[2]","previouslyFormattedCitation":"[2]"},"properties":{"noteIndex":0},"schema":"https://github.com/citation-style-language/schema/raw/master/csl-citation.json"}</w:instrText>
      </w:r>
      <w:r w:rsidRPr="00DC0CC2">
        <w:rPr>
          <w:rFonts w:asciiTheme="majorBidi" w:eastAsiaTheme="minorHAnsi" w:hAnsiTheme="majorBidi" w:cstheme="majorBidi"/>
          <w:kern w:val="2"/>
          <w:vertAlign w:val="superscript"/>
          <w:lang w:bidi="ar-IQ"/>
          <w14:ligatures w14:val="standardContextual"/>
        </w:rPr>
        <w:fldChar w:fldCharType="separate"/>
      </w:r>
      <w:r w:rsidRPr="00DC0CC2">
        <w:rPr>
          <w:rFonts w:asciiTheme="majorBidi" w:eastAsiaTheme="minorHAnsi" w:hAnsiTheme="majorBidi" w:cstheme="majorBidi"/>
          <w:bCs/>
          <w:kern w:val="2"/>
          <w:lang w:bidi="ar-IQ"/>
          <w14:ligatures w14:val="standardContextual"/>
        </w:rPr>
        <w:t>[2]</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w:t>
      </w:r>
    </w:p>
    <w:p w14:paraId="5099B2FF" w14:textId="0867BF1F" w:rsidR="00E25D39" w:rsidRDefault="00EF3FC0" w:rsidP="00E25D39">
      <w:pPr>
        <w:jc w:val="both"/>
        <w:rPr>
          <w:rFonts w:asciiTheme="majorBidi" w:eastAsiaTheme="minorHAnsi" w:hAnsiTheme="majorBidi" w:cstheme="majorBidi"/>
          <w:kern w:val="2"/>
          <w:lang w:bidi="ar-IQ"/>
          <w14:ligatures w14:val="standardContextual"/>
        </w:rPr>
      </w:pPr>
      <w:r w:rsidRPr="00DC0CC2">
        <w:rPr>
          <w:rFonts w:asciiTheme="majorBidi" w:eastAsiaTheme="minorHAnsi" w:hAnsiTheme="majorBidi" w:cstheme="majorBidi"/>
          <w:kern w:val="2"/>
          <w:lang w:bidi="ar-IQ"/>
          <w14:ligatures w14:val="standardContextual"/>
        </w:rPr>
        <w:t xml:space="preserve">Appetite and calorie intake are regulated by thyroid hormones. T3 controls metabolic and energy balance, which has an impact on body weight, thermogenesis, and lipid metabolism. </w:t>
      </w:r>
    </w:p>
    <w:p w14:paraId="162C6EE9" w14:textId="70426277" w:rsidR="00E25D39" w:rsidRPr="00416CBE" w:rsidRDefault="00324000" w:rsidP="002C221A">
      <w:pPr>
        <w:jc w:val="both"/>
        <w:rPr>
          <w:rFonts w:asciiTheme="majorBidi" w:hAnsiTheme="majorBidi" w:cstheme="majorBidi"/>
          <w:sz w:val="16"/>
          <w:szCs w:val="16"/>
          <w:shd w:val="clear" w:color="auto" w:fill="FFFFFF"/>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7968" behindDoc="0" locked="0" layoutInCell="0" allowOverlap="1" wp14:anchorId="6F1C615B" wp14:editId="10A4F4F4">
                <wp:simplePos x="0" y="0"/>
                <wp:positionH relativeFrom="column">
                  <wp:posOffset>46990</wp:posOffset>
                </wp:positionH>
                <wp:positionV relativeFrom="paragraph">
                  <wp:posOffset>205740</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8D43C0" id="رابط مستقيم 23"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6.2pt" to="4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" o:allowincell="f" strokeweight=".7pt">
                <w10:wrap type="square"/>
              </v:line>
            </w:pict>
          </mc:Fallback>
        </mc:AlternateContent>
      </w:r>
      <w:r w:rsidR="00E25D39" w:rsidRPr="00280D60">
        <w:rPr>
          <w:rFonts w:asciiTheme="majorBidi" w:eastAsia="Times New Roman" w:hAnsiTheme="majorBidi" w:cstheme="majorBidi"/>
          <w:spacing w:val="5"/>
          <w:sz w:val="18"/>
          <w:szCs w:val="18"/>
        </w:rPr>
        <w:br/>
      </w:r>
      <w:r>
        <w:rPr>
          <w:rFonts w:asciiTheme="majorBidi" w:eastAsia="Times New Roman" w:hAnsiTheme="majorBidi" w:cstheme="majorBidi"/>
          <w:spacing w:val="5"/>
          <w:sz w:val="16"/>
          <w:szCs w:val="16"/>
        </w:rPr>
        <w:t>*</w:t>
      </w:r>
      <w:proofErr w:type="spellStart"/>
      <w:r>
        <w:rPr>
          <w:rFonts w:asciiTheme="majorBidi" w:eastAsia="Times New Roman" w:hAnsiTheme="majorBidi" w:cstheme="majorBidi"/>
          <w:spacing w:val="5"/>
          <w:sz w:val="16"/>
          <w:szCs w:val="16"/>
        </w:rPr>
        <w:t>Co</w:t>
      </w:r>
      <w:r w:rsidR="00E25D39" w:rsidRPr="00416CBE">
        <w:rPr>
          <w:rFonts w:asciiTheme="majorBidi" w:eastAsia="Times New Roman" w:hAnsiTheme="majorBidi" w:cstheme="majorBidi"/>
          <w:spacing w:val="5"/>
          <w:sz w:val="16"/>
          <w:szCs w:val="16"/>
        </w:rPr>
        <w:t>responding</w:t>
      </w:r>
      <w:proofErr w:type="spellEnd"/>
      <w:r w:rsidR="00E25D39" w:rsidRPr="00416CBE">
        <w:rPr>
          <w:rFonts w:asciiTheme="majorBidi" w:eastAsia="Times New Roman" w:hAnsiTheme="majorBidi" w:cstheme="majorBidi"/>
          <w:spacing w:val="5"/>
          <w:sz w:val="16"/>
          <w:szCs w:val="16"/>
        </w:rPr>
        <w:t xml:space="preserve"> author at: </w:t>
      </w:r>
      <w:r w:rsidR="002C221A" w:rsidRPr="002C221A">
        <w:rPr>
          <w:rFonts w:asciiTheme="majorBidi" w:eastAsia="Times New Roman" w:hAnsiTheme="majorBidi" w:cstheme="majorBidi"/>
          <w:sz w:val="16"/>
          <w:szCs w:val="16"/>
        </w:rPr>
        <w:t xml:space="preserve">Department of </w:t>
      </w:r>
      <w:r w:rsidR="002C221A" w:rsidRPr="002C221A">
        <w:rPr>
          <w:rFonts w:asciiTheme="majorBidi" w:eastAsia="Times New Roman" w:hAnsiTheme="majorBidi" w:cstheme="majorBidi" w:hint="cs"/>
          <w:sz w:val="16"/>
          <w:szCs w:val="16"/>
          <w:rtl/>
        </w:rPr>
        <w:t xml:space="preserve"> </w:t>
      </w:r>
      <w:r w:rsidR="002C221A" w:rsidRPr="002C221A">
        <w:rPr>
          <w:rFonts w:asciiTheme="majorBidi" w:eastAsia="Times New Roman" w:hAnsiTheme="majorBidi" w:cstheme="majorBidi"/>
          <w:sz w:val="16"/>
          <w:szCs w:val="16"/>
        </w:rPr>
        <w:t>Chemistry,</w:t>
      </w:r>
      <w:r w:rsidR="002C221A" w:rsidRPr="002C221A">
        <w:rPr>
          <w:rFonts w:asciiTheme="majorBidi" w:eastAsia="Times New Roman" w:hAnsiTheme="majorBidi" w:cstheme="majorBidi"/>
          <w:sz w:val="16"/>
          <w:szCs w:val="16"/>
          <w:rtl/>
        </w:rPr>
        <w:t xml:space="preserve"> </w:t>
      </w:r>
      <w:r w:rsidR="002C221A" w:rsidRPr="002C221A">
        <w:rPr>
          <w:rFonts w:asciiTheme="majorBidi" w:eastAsia="Times New Roman" w:hAnsiTheme="majorBidi" w:cstheme="majorBidi"/>
          <w:sz w:val="16"/>
          <w:szCs w:val="16"/>
        </w:rPr>
        <w:t xml:space="preserve"> College of Education for Pure Science</w:t>
      </w:r>
      <w:r w:rsidR="002C221A" w:rsidRPr="002C221A">
        <w:rPr>
          <w:rFonts w:asciiTheme="majorBidi" w:eastAsia="Times New Roman" w:hAnsiTheme="majorBidi" w:cstheme="majorBidi"/>
          <w:sz w:val="16"/>
          <w:szCs w:val="16"/>
          <w:rtl/>
        </w:rPr>
        <w:t xml:space="preserve"> </w:t>
      </w:r>
      <w:r w:rsidR="002C221A" w:rsidRPr="002C221A">
        <w:rPr>
          <w:rFonts w:asciiTheme="majorBidi" w:eastAsia="Times New Roman" w:hAnsiTheme="majorBidi" w:cstheme="majorBidi"/>
          <w:sz w:val="16"/>
          <w:szCs w:val="16"/>
        </w:rPr>
        <w:t>, University Of</w:t>
      </w:r>
      <w:r w:rsidR="002C221A" w:rsidRPr="002C221A">
        <w:rPr>
          <w:rFonts w:asciiTheme="majorBidi" w:eastAsia="Times New Roman" w:hAnsiTheme="majorBidi" w:cstheme="majorBidi"/>
          <w:sz w:val="16"/>
          <w:szCs w:val="16"/>
          <w:rtl/>
        </w:rPr>
        <w:t xml:space="preserve">  </w:t>
      </w:r>
      <w:r w:rsidR="002C221A" w:rsidRPr="002C221A">
        <w:rPr>
          <w:rFonts w:asciiTheme="majorBidi" w:eastAsia="Times New Roman" w:hAnsiTheme="majorBidi" w:cstheme="majorBidi"/>
          <w:sz w:val="16"/>
          <w:szCs w:val="16"/>
        </w:rPr>
        <w:t xml:space="preserve">Anbar, </w:t>
      </w:r>
      <w:r w:rsidR="002C221A" w:rsidRPr="002C221A">
        <w:rPr>
          <w:rFonts w:asciiTheme="majorBidi" w:eastAsia="Times New Roman" w:hAnsiTheme="majorBidi" w:cstheme="majorBidi"/>
          <w:sz w:val="16"/>
          <w:szCs w:val="16"/>
          <w:rtl/>
        </w:rPr>
        <w:t xml:space="preserve"> </w:t>
      </w:r>
      <w:r w:rsidR="002C221A" w:rsidRPr="002C221A">
        <w:rPr>
          <w:rFonts w:asciiTheme="majorBidi" w:eastAsia="Times New Roman" w:hAnsiTheme="majorBidi" w:cstheme="majorBidi"/>
          <w:sz w:val="16"/>
          <w:szCs w:val="16"/>
        </w:rPr>
        <w:t xml:space="preserve">Ramadi, Iraq </w:t>
      </w:r>
      <w:proofErr w:type="spellStart"/>
      <w:r w:rsidR="00E25D39" w:rsidRPr="00416CBE">
        <w:rPr>
          <w:rFonts w:asciiTheme="majorBidi" w:eastAsia="Times New Roman" w:hAnsiTheme="majorBidi" w:cstheme="majorBidi"/>
          <w:spacing w:val="5"/>
          <w:sz w:val="16"/>
          <w:szCs w:val="16"/>
        </w:rPr>
        <w:t>ORCID:</w:t>
      </w:r>
      <w:r w:rsidR="00E25D39" w:rsidRPr="00416CBE">
        <w:rPr>
          <w:rFonts w:asciiTheme="majorBidi" w:hAnsiTheme="majorBidi" w:cstheme="majorBidi"/>
          <w:sz w:val="16"/>
          <w:szCs w:val="16"/>
          <w:shd w:val="clear" w:color="auto" w:fill="FFFFFF"/>
        </w:rPr>
        <w:t>https</w:t>
      </w:r>
      <w:proofErr w:type="spellEnd"/>
      <w:r w:rsidR="00E25D39" w:rsidRPr="00416CBE">
        <w:rPr>
          <w:rFonts w:asciiTheme="majorBidi" w:hAnsiTheme="majorBidi" w:cstheme="majorBidi"/>
          <w:sz w:val="16"/>
          <w:szCs w:val="16"/>
          <w:shd w:val="clear" w:color="auto" w:fill="FFFFFF"/>
        </w:rPr>
        <w:t>://orcid.org/0000-0000-0000-0000;Tel:+96</w:t>
      </w:r>
      <w:r w:rsidR="00E25D39" w:rsidRPr="002C221A">
        <w:rPr>
          <w:rFonts w:asciiTheme="majorBidi" w:hAnsiTheme="majorBidi" w:cstheme="majorBidi"/>
          <w:color w:val="FF0000"/>
          <w:sz w:val="16"/>
          <w:szCs w:val="16"/>
          <w:shd w:val="clear" w:color="auto" w:fill="FFFFFF"/>
        </w:rPr>
        <w:t>4000000000000</w:t>
      </w:r>
    </w:p>
    <w:p w14:paraId="41A79C96" w14:textId="27725652" w:rsidR="00E25D39" w:rsidRDefault="00E25D39" w:rsidP="00E25D39">
      <w:pPr>
        <w:jc w:val="both"/>
        <w:rPr>
          <w:rFonts w:asciiTheme="majorBidi" w:eastAsia="Times New Roman" w:hAnsiTheme="majorBidi" w:cstheme="majorBidi"/>
          <w:sz w:val="16"/>
          <w:szCs w:val="16"/>
        </w:rPr>
      </w:pPr>
      <w:r w:rsidRPr="00416CBE">
        <w:rPr>
          <w:rFonts w:asciiTheme="majorBidi" w:eastAsia="Times New Roman" w:hAnsiTheme="majorBidi" w:cstheme="majorBidi"/>
          <w:spacing w:val="5"/>
          <w:sz w:val="16"/>
          <w:szCs w:val="16"/>
        </w:rPr>
        <w:t>E-mail address:</w:t>
      </w:r>
      <w:r w:rsidRPr="00416CBE">
        <w:rPr>
          <w:rFonts w:asciiTheme="majorBidi" w:hAnsiTheme="majorBidi" w:cstheme="majorBidi"/>
          <w:sz w:val="16"/>
          <w:szCs w:val="16"/>
        </w:rPr>
        <w:t xml:space="preserve"> </w:t>
      </w:r>
      <w:proofErr w:type="spellStart"/>
      <w:r w:rsidRPr="00E25D39">
        <w:rPr>
          <w:rFonts w:asciiTheme="majorBidi" w:hAnsiTheme="majorBidi" w:cstheme="majorBidi"/>
          <w:color w:val="FF0000"/>
          <w:sz w:val="16"/>
          <w:szCs w:val="16"/>
        </w:rPr>
        <w:t>ssssssssssss</w:t>
      </w:r>
      <w:proofErr w:type="spellEnd"/>
      <w:r w:rsidRPr="00E25D39">
        <w:rPr>
          <w:rFonts w:asciiTheme="majorBidi" w:hAnsiTheme="majorBidi" w:cstheme="majorBidi"/>
          <w:color w:val="FF0000"/>
          <w:sz w:val="16"/>
          <w:szCs w:val="16"/>
        </w:rPr>
        <w:t xml:space="preserve">@ </w:t>
      </w:r>
      <w:proofErr w:type="spellStart"/>
      <w:r w:rsidRPr="00E25D39">
        <w:rPr>
          <w:rFonts w:asciiTheme="majorBidi" w:hAnsiTheme="majorBidi" w:cstheme="majorBidi"/>
          <w:color w:val="FF0000"/>
          <w:sz w:val="16"/>
          <w:szCs w:val="16"/>
        </w:rPr>
        <w:t>uuuuuuuuuu,ee.iq</w:t>
      </w:r>
      <w:proofErr w:type="spellEnd"/>
    </w:p>
    <w:p w14:paraId="532C0D33" w14:textId="77777777" w:rsidR="00E25D39" w:rsidRDefault="00E25D39" w:rsidP="00E25D39">
      <w:pPr>
        <w:jc w:val="both"/>
        <w:rPr>
          <w:rFonts w:asciiTheme="majorBidi" w:eastAsiaTheme="minorHAnsi" w:hAnsiTheme="majorBidi" w:cstheme="majorBidi"/>
          <w:kern w:val="2"/>
          <w:lang w:bidi="ar-IQ"/>
          <w14:ligatures w14:val="standardContextual"/>
        </w:rPr>
      </w:pPr>
    </w:p>
    <w:p w14:paraId="46C95C20" w14:textId="3374CB30" w:rsidR="00EF3FC0" w:rsidRPr="00E25D39" w:rsidRDefault="00EF3FC0" w:rsidP="00E25D39">
      <w:pPr>
        <w:jc w:val="both"/>
        <w:rPr>
          <w:rFonts w:asciiTheme="majorBidi" w:eastAsia="Times New Roman" w:hAnsiTheme="majorBidi" w:cstheme="majorBidi"/>
          <w:sz w:val="16"/>
          <w:szCs w:val="16"/>
        </w:rPr>
      </w:pPr>
      <w:r w:rsidRPr="00DC0CC2">
        <w:rPr>
          <w:rFonts w:asciiTheme="majorBidi" w:eastAsiaTheme="minorHAnsi" w:hAnsiTheme="majorBidi" w:cstheme="majorBidi"/>
          <w:kern w:val="2"/>
          <w:lang w:bidi="ar-IQ"/>
          <w14:ligatures w14:val="standardContextual"/>
        </w:rPr>
        <w:lastRenderedPageBreak/>
        <w:t xml:space="preserve">TSH receptors on </w:t>
      </w:r>
      <w:proofErr w:type="spellStart"/>
      <w:r w:rsidRPr="00DC0CC2">
        <w:rPr>
          <w:rFonts w:asciiTheme="majorBidi" w:eastAsiaTheme="minorHAnsi" w:hAnsiTheme="majorBidi" w:cstheme="majorBidi"/>
          <w:kern w:val="2"/>
          <w:lang w:bidi="ar-IQ"/>
          <w14:ligatures w14:val="standardContextual"/>
        </w:rPr>
        <w:t>preadipocytes</w:t>
      </w:r>
      <w:proofErr w:type="spellEnd"/>
      <w:r w:rsidRPr="00DC0CC2">
        <w:rPr>
          <w:rFonts w:asciiTheme="majorBidi" w:eastAsiaTheme="minorHAnsi" w:hAnsiTheme="majorBidi" w:cstheme="majorBidi"/>
          <w:kern w:val="2"/>
          <w:lang w:bidi="ar-IQ"/>
          <w14:ligatures w14:val="standardContextual"/>
        </w:rPr>
        <w:t xml:space="preserve"> cause them to develop into adipocytes, resulting in an increase in adipose tissue. Hyperthyroidism and hypothyroidism are the two most common thyroid disorders </w:t>
      </w:r>
      <w:r w:rsidRPr="00DC0CC2">
        <w:rPr>
          <w:rFonts w:asciiTheme="majorBidi" w:eastAsiaTheme="minorHAnsi" w:hAnsiTheme="majorBidi" w:cstheme="majorBidi"/>
          <w:kern w:val="2"/>
          <w:vertAlign w:val="superscript"/>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{"citationItems":[{"id":"ITEM-1","itemData":{"DOI":"10.1016/S0140-6736(17)30703-1","ISSN":"1474547X","PMID":"28336049","abstract":"Hypothyroidism is a common condition of thyroid hormone deficiency, which is readily diagnosed and managed but potentially fatal in severe cases if untreated. The definition of hypothyroidism is based on statistical reference ranges of the relevant biochemical parameters and is increasingly a matter of debate. Clinical manifestations of hypothyroidism range from life threatening to no signs or symptoms. The most common symptoms in adults are fatigue, lethargy, cold intolerance, weight gain, constipation, change in voice, and dry skin, but clinical presentation can differ with age and sex, among other factors. The standard treatment is thyroid hormone replacement therapy with levothyroxine. However, a substantial proportion of patients who reach biochemical treatment targets have persistent complaints. In this Seminar, we discuss the epidemiology, causes, and symptoms of hypothyroidism; summarise evidence on diagnosis, long-term risk, treatment, and management; and highlight future directions for research.","author":[{"dropping-particle":"","family":"Chaker","given":"Layal","non-dropping-particle":"","parse-names":false,"suffix":""},{"dropping-particle":"","family":"Bianco","given":"Antonio C.","non-dropping-particle":"","parse-names":false,"suffix":""},{"dropping-particle":"","family":"Jonklaas","given":"Jacqueline","non-dropping-particle":"","parse-names":false,"suffix":""},{"dropping-particle":"","family":"Peeters","given":"Robin P.","non-dropping-particle":"","parse-names":false,"suffix":""}],"container-title":"The Lancet","id":"ITEM-1","issue":"10101","issued":{"date-parts":[["2017"]]},"page":"1550-1562","title":"Hypothyroidism","type":"article-journal","volume":"390"},"uris":["http://www.mendeley.com/documents/?uuid=5c086001-f6c5-4bf5-aac4-9b6b2498429d"]}],"mendeley":{"formattedCitation":"[3]","plainTextFormattedCitation":"[3]","previouslyFormattedCitation":"[3]"},"properties":{"noteIndex":0},"schema":"https://github.com/citation-style-language/schema/raw/master/csl-citation.json"}</w:instrText>
      </w:r>
      <w:r w:rsidRPr="00DC0CC2">
        <w:rPr>
          <w:rFonts w:asciiTheme="majorBidi" w:eastAsiaTheme="minorHAnsi" w:hAnsiTheme="majorBidi" w:cstheme="majorBidi"/>
          <w:kern w:val="2"/>
          <w:vertAlign w:val="superscript"/>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[3]</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w:t>
      </w:r>
    </w:p>
    <w:p w14:paraId="35E0113D" w14:textId="77777777" w:rsidR="00EF3FC0" w:rsidRPr="00DC0CC2" w:rsidRDefault="00EF3FC0" w:rsidP="00DC0CC2">
      <w:pPr>
        <w:widowControl w:val="0"/>
        <w:autoSpaceDE w:val="0"/>
        <w:autoSpaceDN w:val="0"/>
        <w:adjustRightInd w:val="0"/>
        <w:spacing w:before="100" w:after="100" w:line="276" w:lineRule="auto"/>
        <w:ind w:firstLine="567"/>
        <w:jc w:val="both"/>
        <w:rPr>
          <w:rFonts w:asciiTheme="majorBidi" w:eastAsiaTheme="minorHAnsi" w:hAnsiTheme="majorBidi" w:cstheme="majorBidi"/>
          <w:kern w:val="2"/>
          <w:lang w:bidi="ar-IQ"/>
          <w14:ligatures w14:val="standardContextual"/>
        </w:rPr>
      </w:pPr>
      <w:r w:rsidRPr="00DC0CC2">
        <w:rPr>
          <w:rFonts w:asciiTheme="majorBidi" w:eastAsiaTheme="minorHAnsi" w:hAnsiTheme="majorBidi" w:cstheme="majorBidi"/>
          <w:kern w:val="2"/>
          <w:lang w:bidi="ar-IQ"/>
          <w14:ligatures w14:val="standardContextual"/>
        </w:rPr>
        <w:t xml:space="preserve">As enhanced T4 to T3 conversion keeps T3 blood levels within the normal range until hypothyroidism becomes severe, T3 levels are insufficient for the diagnosis of hypothyroidism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{"citationItems":[{"id":"ITEM-1","itemData":{"DOI":"10.1016/S0889-8529(05)70187-0","ISSN":"08898529","PMID":"11444163","abstract":"The main purpose of free T4 and free T3 assays is to distinguish reliably between thyrotoxicosis, hypothyroidism, and the euthyroid state, an objective that cannot be attained with assays of total T4 and T3 because of hereditary and acquired variations in the concentrations of binding proteins. Effective correction for changes in the serum concentration of TBG can be achieved with numerous types of free hormone estimate, but other changes in binding are not well accommodated. Despite remarkable methodologic ingenuity, no current method reflects the free T4 concentration in undiluted serum under in vivo conditions. Equilibrium dialysis, widely considered the reference method for free T4 measurement, is also subject to error, either preanalytic, owing to generation of NEFA in the sample leading to an overestimate of free T4, or analytic with underestimation of the effect of competitors to increase free T4. Current approaches to free T4 measurement are vulnerable to several method-dependent artifacts: abnormal albumin binding of T4 or of the assay tracer, the inhibition of T4 binding to TBG by medications, and the effects of critical illness, especially in heparin-treated patients, pregnancy, and the abnormalities in sick premature infants. Because of systematic variation between methods (i.e., whether a technique is albumin dependent or prone to incubation or dilution artifacts), it is essential to consider methodologic details in evaluating free T4 estimates in these situations and whenever estimates of free T4 are clinically discordant. False-positive abnormalities are more frequent than false-negative results. When free T4 results are correlated with the serum TSH concentration with attention to the assumptions that define this relationship, the majority of false-positive results can be readily identified. If a free T4 anomaly remains unexplained on repeat sampling, it is appropriate to use an alternative free T4 method that depends on a different assay principle and to correlate the result with an authentic total T4 measurement.","author":[{"dropping-particle":"","family":"Stockigt","given":"J. R.","non-dropping-particle":"","parse-names":false,"suffix":""}],"container-title":"Endocrinology and Metabolism Clinics of North America","id":"ITEM-1","issue":"2","issued":{"date-parts":[["2001"]]},"page":"265-289","title":"Free thyroid hormone measurement: A critical appraisal","type":"article-journal","volume":"30"},"uris":["http://www.mendeley.com/documents/?uuid=2cedff75-7ae7-4051-86d4-03a6a13e870f"]}],"mendeley":{"formattedCitation":"[4]","plainTextFormattedCitation":"[4]","previouslyFormattedCitation":"[4]"},"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[4]</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The following are some of the benefits of using T3 testing along with FT4 interpretation to identify and track hyperthyroidism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{"citationItems":[{"id":"ITEM-1","itemData":{"DOI":"10.1089/thy.2000.10.31","ISSN":"10507256","PMID":"10691311","abstract":"Systemic inaccuracies, proportional to the concentrations of serum proteins and the thyroxine (T4) they carry, have been reported in direct free T4 immunoassays. However, analytical recoveries of free T4 have not been carefully examined in most current methods, and they have not previously been examined across the pathophysiological range of serum T4 binding. In the present study we investigated ranges of serum T4 binding using free and total T4 measurements from 1359 individuals. Carefully characterized, gravimetrically calibrated, serum-based free T4 test solutions were then prepared with a constant normal free T4 concentration (12 ng/L) and varied serum T4 binding (approximately 300:1 to 24,000:1, ng protein bound T4: ng free T4). These standardized test solutions were analyzed using five T4 analog based free T4 methods. Analytical recoveries were calculated as ratios of actual free T4 measurements to the target value, and expressed as a percent of the target. Analytical recoveries were directly proportional to the extent of serum T4 binding and ranged 2% to 155%, 25% to 131%, 53% to 106%, 37% to 93%, and 37% to 73%, lowest to highest, in different methods. These systemic inaccuracies will confound interpretations of free T4 test results in clinical conditions with altered T4 binding. Future investigations into free T4 status must examine the analytical recovery of the free T4 method(s) used, as they relate to the extent of serum T4 binding in the clinical condition(s) studied.","author":[{"dropping-particle":"","family":"Wang","given":"Rong","non-dropping-particle":"","parse-names":false,"suffix":""},{"dropping-particle":"","family":"Nelson","given":"Jerald C.","non-dropping-particle":"","parse-names":false,"suffix":""},{"dropping-particle":"","family":"Weiss","given":"Rene M.","non-dropping-particle":"","parse-names":false,"suffix":""},{"dropping-particle":"","family":"Wilcox","given":"R. Bruce","non-dropping-particle":"","parse-names":false,"suffix":""}],"container-title":"Thyroid","id":"ITEM-1","issue":"1","issued":{"date-parts":[["2000"]]},"page":"31-39","title":"Accuracy of free thyroxine measurements across natural ranges of thyroxine binding to serum proteins","type":"article-journal","volume":"10"},"uris":["http://www.mendeley.com/documents/?uuid=77004770-c336-4b07-8240-210c5a31dc5d"]}],"mendeley":{"formattedCitation":"[5]","plainTextFormattedCitation":"[5]","previouslyFormattedCitation":"[5]"},"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[5]</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Graves' illness is indicated by a high total T3/total T4 (TT3/TT4) ratio (&gt; 20); When </w:t>
      </w:r>
      <w:proofErr w:type="spellStart"/>
      <w:r w:rsidRPr="00DC0CC2">
        <w:rPr>
          <w:rFonts w:asciiTheme="majorBidi" w:eastAsiaTheme="minorHAnsi" w:hAnsiTheme="majorBidi" w:cstheme="majorBidi"/>
          <w:kern w:val="2"/>
          <w:lang w:bidi="ar-IQ"/>
          <w14:ligatures w14:val="standardContextual"/>
        </w:rPr>
        <w:t>nonthyroidal</w:t>
      </w:r>
      <w:proofErr w:type="spellEnd"/>
      <w:r w:rsidRPr="00DC0CC2">
        <w:rPr>
          <w:rFonts w:asciiTheme="majorBidi" w:eastAsiaTheme="minorHAnsi" w:hAnsiTheme="majorBidi" w:cstheme="majorBidi"/>
          <w:kern w:val="2"/>
          <w:lang w:bidi="ar-IQ"/>
          <w14:ligatures w14:val="standardContextual"/>
        </w:rPr>
        <w:t xml:space="preserve"> disease is present and TSH is suppressed ( 0.01 </w:t>
      </w:r>
      <w:proofErr w:type="spellStart"/>
      <w:r w:rsidRPr="00DC0CC2">
        <w:rPr>
          <w:rFonts w:asciiTheme="majorBidi" w:eastAsiaTheme="minorHAnsi" w:hAnsiTheme="majorBidi" w:cstheme="majorBidi"/>
          <w:kern w:val="2"/>
          <w:lang w:bidi="ar-IQ"/>
          <w14:ligatures w14:val="standardContextual"/>
        </w:rPr>
        <w:t>mIU</w:t>
      </w:r>
      <w:proofErr w:type="spellEnd"/>
      <w:r w:rsidRPr="00DC0CC2">
        <w:rPr>
          <w:rFonts w:asciiTheme="majorBidi" w:eastAsiaTheme="minorHAnsi" w:hAnsiTheme="majorBidi" w:cstheme="majorBidi"/>
          <w:kern w:val="2"/>
          <w:lang w:bidi="ar-IQ"/>
          <w14:ligatures w14:val="standardContextual"/>
        </w:rPr>
        <w:t xml:space="preserve">/L), critical patients with high or curiously normal T3 levels may be hyperthyroid; </w:t>
      </w:r>
      <w:proofErr w:type="spellStart"/>
      <w:r w:rsidRPr="00DC0CC2">
        <w:rPr>
          <w:rFonts w:asciiTheme="majorBidi" w:eastAsiaTheme="minorHAnsi" w:hAnsiTheme="majorBidi" w:cstheme="majorBidi"/>
          <w:kern w:val="2"/>
          <w:lang w:bidi="ar-IQ"/>
          <w14:ligatures w14:val="standardContextual"/>
        </w:rPr>
        <w:t>Amiodarone</w:t>
      </w:r>
      <w:proofErr w:type="spellEnd"/>
      <w:r w:rsidRPr="00DC0CC2">
        <w:rPr>
          <w:rFonts w:asciiTheme="majorBidi" w:eastAsiaTheme="minorHAnsi" w:hAnsiTheme="majorBidi" w:cstheme="majorBidi"/>
          <w:kern w:val="2"/>
          <w:lang w:bidi="ar-IQ"/>
          <w14:ligatures w14:val="standardContextual"/>
        </w:rPr>
        <w:t xml:space="preserve">-induced hyperthyroidism may be indicated by high or abnormally normal T3 levels; High T3 levels are common in people with pituitary tumors that make TSH and people with resistance to TH syndrome who don't have signs of </w:t>
      </w:r>
      <w:r w:rsidRPr="00DC0CC2">
        <w:rPr>
          <w:rFonts w:asciiTheme="majorBidi" w:eastAsiaTheme="minorHAnsi" w:hAnsiTheme="majorBidi" w:cstheme="majorBidi"/>
          <w:kern w:val="2"/>
          <w:lang w:bidi="ar-IQ"/>
          <w14:ligatures w14:val="standardContextual"/>
        </w:rPr>
        <w:lastRenderedPageBreak/>
        <w:t>hyperthyroidism; T3 levels are helpful for tracking GD patients' acute thyrotoxicosis therapy response; Elevated T3 is a typical early indicator of GDs recurrence, and T3 can identify a thyrotoxicosis relapse quickly following a break in anti-thyroid medication therapy.</w:t>
      </w:r>
    </w:p>
    <w:p w14:paraId="1F9CE0A3" w14:textId="0C28D18C" w:rsidR="00EF3FC0" w:rsidRPr="00DC0CC2" w:rsidRDefault="00EF3FC0" w:rsidP="00DC0CC2">
      <w:pPr>
        <w:widowControl w:val="0"/>
        <w:autoSpaceDE w:val="0"/>
        <w:autoSpaceDN w:val="0"/>
        <w:adjustRightInd w:val="0"/>
        <w:spacing w:before="100" w:after="100" w:line="276" w:lineRule="auto"/>
        <w:ind w:firstLine="567"/>
        <w:jc w:val="both"/>
        <w:rPr>
          <w:rFonts w:asciiTheme="majorBidi" w:eastAsiaTheme="minorHAnsi" w:hAnsiTheme="majorBidi" w:cstheme="majorBidi"/>
          <w:kern w:val="2"/>
          <w:lang w:bidi="ar-IQ"/>
          <w14:ligatures w14:val="standardContextual"/>
        </w:rPr>
      </w:pPr>
      <w:r w:rsidRPr="00DC0CC2">
        <w:rPr>
          <w:rFonts w:asciiTheme="majorBidi" w:eastAsiaTheme="minorHAnsi" w:hAnsiTheme="majorBidi" w:cstheme="majorBidi"/>
          <w:kern w:val="2"/>
          <w:lang w:bidi="ar-IQ"/>
          <w14:ligatures w14:val="standardContextual"/>
        </w:rPr>
        <w:t xml:space="preserve">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also known as neuron-derived neurotropic released protein (NENF), is a membrane-bound progesterone receptor that is involved in energy metabolism and the growth of tumors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{"citationItems":[{"id":"ITEM-1","itemData":{"DOI":"10.1152/ajpregu.00368.2012","ISSN":"03636119","PMID":"23576617","abstract":"Disruption of finely coordinated neuropeptide signals in the hypothalamus can result in altered food intake and body weight. We identified neuron-derived neurotrophic factor (NENF) as a novel secreted protein through a large-scale screen aimed at identifying novel secreted hypothalamic proteins that regulate food intake. We observed robust Nenf expression in hypothalamic nuclei known to regulate food intake, and its expression was altered under the diet-induced obese (DIO) condition relative to the fed state. Hypothalamic Nenf mRNA was regulated by brain-derived neurotrophic factor (BDNF) signaling, itself an important regulator of appetite. Delivery of purified recombinant BDNF into the lateral cerebral ventricle decreased hypothalamic Nenf expression, while pharmacological inhibition of trkB signaling increased Nenf mRNA expression. Furthermore, recombinant NENF administered via an intracerebroventricular cannula decreased food intake and body weight and increased hypothalamic Pomc and Mc4r mRNA expression. Importantly, the appetite-suppressing effect of NENF was abrogated in obese mice fed a high-fat diet, demonstrating a diet-dependent modulation of NENF function. We propose the existence of a regulatory circuit involving BDNF, NENF, and melanocortin signaling. Our study validates the power of using an integrated experimental and bioinformatic approach to identify novel CNS-derived proteins with appetite-modulating function and reveals NENF as an important central modulator of food intake. © 2013 the American Physiological Society.","author":[{"dropping-particle":"","family":"Byerly","given":"Mardi S.","non-dropping-particle":"","parse-names":false,"suffix":""},{"dropping-particle":"","family":"Swanson","given":"Roy D.","non-dropping-particle":"","parse-names":false,"suffix":""},{"dropping-particle":"","family":"Semsarzadeh","given":"Nina N.","non-dropping-particle":"","parse-names":false,"suffix":""},{"dropping-particle":"","family":"McCulloh","given":"Patrick S.","non-dropping-particle":"","parse-names":false,"suffix":""},{"dropping-particle":"","family":"Kwon","given":"Kiwook","non-dropping-particle":"","parse-names":false,"suffix":""},{"dropping-particle":"","family":"Aja","given":"Susan","non-dropping-particle":"","parse-names":false,"suffix":""},{"dropping-particle":"","family":"Moran","given":"Timothy H.","non-dropping-particle":"","parse-names":false,"suffix":""},{"dropping-particle":"","family":"William Wong","given":"G.","non-dropping-particle":"","parse-names":false,"suffix":""},{"dropping-particle":"","family":"Blackshaw","given":"Seth","non-dropping-particle":"","parse-names":false,"suffix":""}],"container-title":"American Journal of Physiology - Regulatory Integrative and Comparative Physiology","id":"ITEM-1","issue":"12","issued":{"date-parts":[["2013"]]},"page":"1085-1095","title":"Identification of hypothalamic neuron-derived neurotrophic factor as a novel factor modulating appetite","type":"article-journal","volume":"304"},"uris":["http://www.mendeley.com/documents/?uuid=0be569ec-599b-4b44-9ede-c8d1c15fc0a9"]}],"mendeley":{"formattedCitation":"[6]","plainTextFormattedCitation":"[6]","previouslyFormattedCitation":"[6]"},"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[6]</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is found in adipose and brain tissue. Because it controls how much energy was used, it was presumed that the thyroid gland's pathology may affect how much was produced at any one time.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turns on two different ways for cells to send signals: </w:t>
      </w:r>
      <w:proofErr w:type="spellStart"/>
      <w:r w:rsidRPr="00DC0CC2">
        <w:rPr>
          <w:rFonts w:asciiTheme="majorBidi" w:eastAsiaTheme="minorHAnsi" w:hAnsiTheme="majorBidi" w:cstheme="majorBidi"/>
          <w:kern w:val="2"/>
          <w:lang w:bidi="ar-IQ"/>
          <w14:ligatures w14:val="standardContextual"/>
        </w:rPr>
        <w:t>phosphoinositide</w:t>
      </w:r>
      <w:proofErr w:type="spellEnd"/>
      <w:r w:rsidRPr="00DC0CC2">
        <w:rPr>
          <w:rFonts w:asciiTheme="majorBidi" w:eastAsiaTheme="minorHAnsi" w:hAnsiTheme="majorBidi" w:cstheme="majorBidi"/>
          <w:kern w:val="2"/>
          <w:lang w:bidi="ar-IQ"/>
          <w14:ligatures w14:val="standardContextual"/>
        </w:rPr>
        <w:t xml:space="preserve"> 3-kinase and mitogen-activated protein kinase (MAPK).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encourages the growth of nerve cells and is found in the brain and spinal cord. Another study that shows a link between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levels and polycystic ovary syndrome found that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levels have gone down a lot, even though progesterone levels were the same in both groups and there was a strong link between progesterone and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levels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{"citationItems":[{"id":"ITEM-1","itemData":{"DOI":"10.5603/GP.a2021.0139","ISSN":"25436767","PMID":"34263912","abstract":"Objectives: We aimed to investigate serum neudesin levels that has neural, metabolic functions in patients with polycystic ovary syndrome (PCOS). Material and methods: The study included 180 women (age range, 18–44 years) with a diagnosis of PCOS and a control group that included 100 healthy females (age range, 18–46 years). Body mass index (BMI), waist circumference, Ferriman-Gallwey score, was evaluated and plasma glucose, lipid profile, estradiol, progesterone, total testosterone, prolactin, insulin, dehydroepiandrosterone sulfate (DHEA-S), FSH, LH, free T3, free T4, thyroid stymulating hormone (TSH), anti-thyroperoxidase (anti-TPO) antibody and neudesin levels were evaluated in all participants. Results: BMI and waist circumference were similar between two groups. Ferriman-Gallwey score was significantly higher in the patient group. Fasting blood glucose, HbA1C, lipid parameters except triglyceride levels, free T3, free T4, TSH, anti-TPO were similar between the two groups. Triglyceride, insulin and HOMA values were significantly higher in PCOS patients. While follicle-stimulating hormone (FSH), estradiol, progesterone, prolactin and DHEAS levels were similar, LH was significantly higher in patients with PCOS. Serum neudesin level was significantly lower in PCOS patients with respect to controls (p = 0.015). Neudesin was positively correlated with insulin (r = 0.224, p = 0.037), and progesterone (r = 0.716, p = 0.001). Multiple regression analysis revealed that neudesin correlated with only progesterone (beta = 0.308, p = 0.001). Conclusions: Due to the association of decreased levels of neudesin with PCOS and correlation of neudesin with progesterone, neudesin may be related with one of patophysiologic pathways of PCOS. Still, it is not certain that decreased neudesin is involved in the pathogenesis of PCOS or is the result of the disorder.","author":[{"dropping-particle":"","family":"Yasar","given":"Hamiyet Yılmaz","non-dropping-particle":"","parse-names":false,"suffix":""},{"dropping-particle":"","family":"Demirpence","given":"Mustafa","non-dropping-particle":"","parse-names":false,"suffix":""},{"dropping-particle":"","family":"Colak","given":"Ayfer","non-dropping-particle":"","parse-names":false,"suffix":""},{"dropping-particle":"","family":"Zeytinli","given":"Merve","non-dropping-particle":"","parse-names":false,"suffix":""},{"dropping-particle":"","family":"Yasar","given":"Erdem","non-dropping-particle":"","parse-names":false,"suffix":""},{"dropping-particle":"","family":"Taylan","given":"Ali","non-dropping-particle":"","parse-names":false,"suffix":""}],"container-title":"Ginekologia Polska","id":"ITEM-1","issue":"7","issued":{"date-parts":[["2022"]]},"page":"525-530","title":"Serum neudesin levels in patients with polycystic ovary syndrome","type":"article-journal","volume":"93"},"uris":["http://www.mendeley.com/documents/?uuid=4dd78c01-de8b-43af-b14b-6ffbee4a086b"]}],"mendeley":{"formattedCitation":"[7]","plainTextFormattedCitation":"[7]","previouslyFormattedCitation":"[7]"},"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[7]</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Additionally, there is a study that supports the function of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regulators in insulin sensitivity and glucose metabolism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{"citationItems":[{"id":"ITEM-1","itemData":{"DOI":"10.1155/2019/6128410","ISSN":"23146141","PMID":"31781629","abstract":"Introduction. The increasing knowledge of adropin, afamin, and neudesin and the regulation of glucose metabolism and insulin resistance allows for the assessment of the differences in their concentrations between the groups with varied duration of diabetes mellitus (DM). Aim of the Study. Assessment of serum levels of adropin, afamin, and neudesin in children with type 1 diabetes, with respect to the disease duration. Materials and Methods. The study consisted of 138 patients aged 5-18 years (M 40.58%). Children with type 1 diabetes (n = 68) were compared to the control group (n = 70). The diabetic group was divided into 4 subgroups: (I) newly diagnosed patients, after an episode of ketoacidosis (n = 14), (II) duration no longer than 5 years (n = 18), (III) 5 to 10 years (n = 27), and (IV) longer than 10 years (n = 9). Serum concentrations of adropin, afamin, and neudesin were assessed and compared between the groups of patients. The criterion for statistical significance was p&lt;0.05. Results. The concentrations of adropin and afamin across all subgroups were lower than that in the control group, while neudesin levels were higher in diabetic patients compared to the control group. The differences were statistically significant. Conclusions. Adropin, afamin, and neudesin may play a major role in the regulation of glucose metabolism and have a significant potential as novel biomarkers to predict future metabolic disorders. However, further multicentre studies on a larger cohort of patients are necessary to specify the role of these substances in the course and treatment of type 1 diabetes.","author":[{"dropping-particle":"","family":"Polkowska","given":"Agnieszka","non-dropping-particle":"","parse-names":false,"suffix":""},{"dropping-particle":"","family":"Pasierowska","given":"Izabela Elżbieta","non-dropping-particle":"","parse-names":false,"suffix":""},{"dropping-particle":"","family":"Pasławska","given":"Marta","non-dropping-particle":"","parse-names":false,"suffix":""},{"dropping-particle":"","family":"Pawluczuk","given":"Elżbieta","non-dropping-particle":"","parse-names":false,"suffix":""},{"dropping-particle":"","family":"Bossowski","given":"Artur","non-dropping-particle":"","parse-names":false,"suffix":""}],"container-title":"BioMed Research International","id":"ITEM-1","issued":{"date-parts":[["2019"]]},"page":"6","title":"Assessment of Serum Concentrations of Adropin, Afamin, and Neudesin in Children with Type 1 Diabetes","type":"article-journal","volume":"2019"},"uris":["http://www.mendeley.com/documents/?uuid=9d871a09-14a7-47ee-a23d-aedc4d4ed868"]}],"mendeley":{"formattedCitation":"[8]","plainTextFormattedCitation":"[8]","previouslyFormattedCitation":"[8]"},"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[8]</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previous study  indicated, when serum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levels in children with type 1 diabetes were tested, it was discovered that these children's serum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levels were considerably greater than those of the control group. In light of these findings, the scientists hypothesized that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could serve as a new biomarker for the future prediction of metabolic illnesses as a possible regulator protein of glucose metabolism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{"citationItems":[{"id":"ITEM-1","itemData":{"DOI":"10.1080/01443615.2022.2114328","ISSN":"13646893","PMID":"36037070","abstract":"Gestational diabetes mellitus (GDM) occurs due to the inability to adapt to physiologically observed changes in carbohydrate metabolism during pregnancy. Neudesin is a multi-functional secreted protein suggested to have a crucial regulator role in energy and carbohydrate metabolism. This study aimed to evaluate maternal serum and umbilical cord neudesin levels in pregnancies with GDM. Twenty-four singleton pregnancies with GDM were compared with gestational age-matched 23 uncomplicated pregnancies in this cross-sectional study. In comparison to the control group, significantly higher maternal serum and umbilical cord neudesin levels were observed in pregnancies with GDM (p &lt;.001). Maternal serum and umbilical cord neudesin levels were also significantly positively correlated with maternal serum insulin levels and HOMA-IR values in the study group (p &lt;.001). Neudesin, with its regulator role in carbohydrate metabolism, may be a contributing factor in the pathophysiology of GDM and may be a target of strategies for the prevention and treatment of GDM.Impact statementWhat is already known on this subject? Progressive changes in carbohydrate metabolism occur in normal pregnancy to provide continuous nutritional supply to the developing foetus and pregnant woman. When these progressive metabolic changes cannot be compensated, gestational diabetes mellitus (GDM) occurs. What the results of this study add? This is the first study to provide information about maternal serum and umbilical cord neudesin levels in pregnancies with GDM. This study observed that the serum levels of neudesin, which is suggested to have a regulator role in carbohydrate metabolism, were increased in pregnant women with GDM. What the implications are of these findings for clinical practice and/or future research? Neudesin may contribute to impaired carbohydrate metabolism in pregnancies with GDM and can be the subject of further studies on the prevention and treatment of GDM.","author":[{"dropping-particle":"","family":"Eren","given":"Elif Çiler","non-dropping-particle":"","parse-names":false,"suffix":""},{"dropping-particle":"","family":"Kaya","given":"Serdar","non-dropping-particle":"","parse-names":false,"suffix":""},{"dropping-particle":"","family":"Argun","given":"Derya","non-dropping-particle":"","parse-names":false,"suffix":""}],"container-title":"Journal of Obstetrics and Gynaecology","id":"ITEM-1","issue":"7","issued":{"date-parts":[["2022"]]},"page":"2941-2945","publisher":"Taylor &amp; Francis","title":"The assessment of maternal and umbilical cord neudesin levels in pregnancies with gestational diabetes mellitus","type":"article-journal","volume":"42"},"uris":["http://www.mendeley.com/documents/?uuid=ed884615-dc1d-478c-b887-f3b555d75c3c"]}],"mendeley":{"formattedCitation":"[9]","plainTextFormattedCitation":"[9]","previouslyFormattedCitation":"[9]"},"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[9]</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Thyroid dysfunction has a big effect on lipids and a number of other risk factors for heart disease. Thyroid function is essential for the regulation of several metabolic processes. Thyroid function has a significant effect on various CVD risk factors and lipoprotein metabolism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{"citationItems":[{"id":"ITEM-1","itemData":{"DOI":"10.1001/archinte.160.4.526","ISSN":"00039926","PMID":"10695693","abstract":"Context: The prevalence of abnormal thyroid function in the United States and the significance of thyroid dysfunction remain controversial. Systemic effects of abnormal thyroid function have not been fully delineated, particularly in cases of mild thyroid failure. Also, the relationship between traditional hypothyroid symptoms and biochemical thyroid function is unclear. Objective: To determine the prevalence of abnormal thyroid function and the relationship between (1) abnormal thyroid function and lipid levels and (2) abnormal thyroid function and symptoms using modern and sensitive thyroid tests. Design: Cross-sectional study. Participants: Participants in a statewide health fair in Colorado, 1995 (N = 25 862). Main Outcome Measures: Serum thyrotropin (thyroid-stimulating hormone [TSH]) and total thyroxine (T4) concentrations, serum lipid levels, and responses to a hypo- thyroid symptoms questionnaire. Results: The prevalence of elevated TSH levels (nor- mal range, 0.3-5.1 mlU/L) in this population was 9.5%, and the prevalence of decreased TSH levels was 2.2%. Forty percent of patients taking thyroid medications had abnormal TSH levels. Lipid levels increased in a graded fashion as thyroid function declined. Also, the mean total cholesterol and low-density lipoprotein cholesterol levels of subjects with TSH values between 5.1 and 10 mIU/L were significantly greater than the corresponding mean lipid levels in euthyroid subjects. Symptoms were reported more often in hypothyroid vs euthyroid individuals, but individual symptom sensitivities were low. Conclusions: The prevalence of abnormal biochemical thyroid function reported here is substantial and con- firms previous reports in smaller populations. Among patients taking thyroid medication, only 60% were within the normal range of TSH. Modest elevations of TSH corresponded to changes in lipid levels that may affect cardiovascular health. Individual symptoms were not very sensitive, but patients who report multiple thyroid symptoms warrant serum thyroid testing. These results confirm that thyroid dysfunction is common, may often go undetected, and may be associated with ad- verse health outcomes that can be avoided by serum TSH measurement.","author":[{"dropping-particle":"","family":"Canaris","given":"Gay J.","non-dropping-particle":"","parse-names":false,"suffix":""},{"dropping-particle":"","family":"Manowitz","given":"Neil R.","non-dropping-particle":"","parse-names":false,"suffix":""},{"dropping-particle":"","family":"Mayor","given":"Gilbert","non-dropping-particle":"","parse-names":false,"suffix":""},{"dropping-particle":"","family":"Ridgway","given":"E. Chester","non-dropping-particle":"","parse-names":false,"suffix":""}],"container-title":"Archives of Internal Medicine","id":"ITEM-1","issue":"4","issued":{"date-parts":[["2000"]]},"page":"526-534","title":"The colorado thyroid disease prevalence study","type":"article-journal","volume":"160"},"uris":["http://www.mendeley.com/documents/?uuid=eed6ac12-3a22-42e0-8ce9-edc688eb9034"]}],"mendeley":{"formattedCitation":"[10]","plainTextFormattedCitation":"[10]","previouslyFormattedCitation":"[10]"},"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[10,</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{"citationItems":[{"id":"ITEM-1","itemData":{"DOI":"10.1089/10507250252949405","ISSN":"10507256","abstract":"The composition and the transport of lipoproteins are seriously disturbed in thyroid diseases. Overt hypothyroidism is characterized by hypercholesterolaemia and a marked increase in low-density lipoproteins (LDL) and apolipoprotein B (apo A) because of a decreased fractional clearance of LDL by a reduced number of LDL receptors in the liver. The high-density lipoprotein (HDL) levels are normal or even elevated in severe hypothyroidism because of decreased activity of cholesteryl-ester transfer protein (CETP) and hepatic lipase (HL), which are enzymes regulated by thyroid hormones. The low activity of CETP, and more specifically of HL, results in reduced transport of cholesteryl esters from HDL2 to very low-density lipoproteins (VLDL) and intermediate low-density lipoprotein (IDL), and reduced transport of HDL2 to HDL3. Moreover, hypothyroidism increases the oxidation of plasma cholesterol mainly because of an altered pattern of binding and to the increased levels of cholesterol, which presents a substrate for the oxidative stress. Cardiac oxygen consumption is reduced in hypothyroidism. This reduction is associated with increased peripheral resistance and reduced contractility. Hypothyroidism is often accompanied by diastolic hypertension that, in conjunction with the dyslipidemia, may promote atherosclerosis. However, thyroxine therapy, in a thyrotropin (TSH)-suppressive dose, usually leads to a considerable improvement of the lipid profile. The changes in lipoproteins are correlated with changes in free thyroxine (FT4) levels. Hyperthyroidism exhibits an enhanced excretion of cholesterol and an increased turnover of LDL resulting in a decrease of total and LDL cholesterol, whereas HDL are decreased or not affected. The action of thyroid hormone on Lp(a) lipoprotein is still debated, because both decrease or no changes have been reported. The discrepancies are mostly because of genetic polymorphism of apo(a) and to the differences between the various study groups. Subclinical hypothyroidism (SH) is associated with lipid disorders that are characterized by normal or slightly elevated total cholesterol levels, increased LDL, and lower HDL. Moreover, SH has been associated with endothelium dysfunction, aortic atherosclerosis, and myocardial infarction. Lipid disorders exhibit great individual variability. Nevertheless, they might be a link, although it has not been proved, between SH and atherosclerosis.","author":[{"dropping-particle":"","family":"Duntas","given":"Leonidas H.","non-dropping-particle":"","parse-names":false,"suffix":""}],"container-title":"Thyroid","id":"ITEM-1","issue":"4","issued":{"date-parts":[["2002"]]},"page":"287-293","title":"Thyroid disease and lipids","type":"article-journal","volume":"12"},"uris":["http://www.mendeley.com/documents/?uuid=8f66f705-b9d2-479c-8654-37f42123ee49"]}],"mendeley":{"formattedCitation":"[11]","manualFormatting":"11]","plainTextFormattedCitation":"[11]"},"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11]</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and hence on the overall CVD risk. Even within the normal range of thyroid-stimulating hormone (TSH) concentrations, there has been evidence of a linear rise in TC, LDL-C, and TG and a linear decline in HDL-C with increasing TSH. Lipid abnormalities are a common consequence of hypothyroidism. Substitution therapy improves the lipid profiles of patients with overt hypothyroidism. However, hyperthyroidism may cause abnormally low cholesterol </w:t>
      </w:r>
      <w:r w:rsidRPr="00DC0CC2">
        <w:rPr>
          <w:rFonts w:asciiTheme="majorBidi" w:eastAsiaTheme="minorHAnsi" w:hAnsiTheme="majorBidi" w:cstheme="majorBidi"/>
          <w:kern w:val="2"/>
          <w:lang w:bidi="ar-IQ"/>
          <w14:ligatures w14:val="standardContextual"/>
        </w:rPr>
        <w:lastRenderedPageBreak/>
        <w:t xml:space="preserve">levels or an improvement in lipid profile for no apparent reason </w:t>
      </w:r>
      <w:r w:rsidRPr="00DC0CC2">
        <w:rPr>
          <w:rFonts w:asciiTheme="majorBidi" w:eastAsiaTheme="minorHAnsi" w:hAnsiTheme="majorBidi" w:cstheme="majorBidi"/>
          <w:kern w:val="2"/>
          <w:vertAlign w:val="superscript"/>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{"citationItems":[{"id":"ITEM-1","itemData":{"DOI":"10.32553/ijmbs.v3i6.301","ISSN":"2589-868X","abstract":"Background: Thyroid function regulates a wide array of metabolic parameters. Thyroid function significantly affects lipoprotein metabolism as well as some cardiovascular disease (CVD) risk factors, thus influencing overall CDV risk.\r Methods: A cross sectional study has been conducted to assess the association of subclinical hypothyroidism and overt hypothyroidism with lipid abnormalities.\r Results: Serum HDL cholesterol in group A was 37.97±7.97 mg/dl, that  in group B was 37.62±6.67 mg/dl, while in group C it was 36.27±5.79 mg/dl. Serum LDL cholesterol in group A was 150.9±29.70 mg/dl, that  in group B was 115.2±22.02 mg/dl, while in group C  it was 93.07±19.88 mg/dl. Serum total cholesterol in group A was 223±32.69 mg/dl, that in group B was 179.67±27.50 mg/dl, while in group C it was 152.4±21.47 mg/dl. Serum VLDL cholesterol in group A was 34.12±11.06 mg/dl, that in group B was 26.85±4.01 mg/dl, while in group C it was 23.05±3.09 mg/dl. Serum VLDL cholesterol in group A was 167.42±47.83 mg/dl, that in group B was 134.37±20.22 mg/dl, while in group C it was 115.17±15.66 mg/dl.\r Conclusion: Thyroid dysfunction can have an important effect on lipid profile. Biochemical screening for thyroid dysfunction is critical in all dyslipidemic patients, as well as in all patients with unexpected improvement or worsening of their lipid profile.\r Keywords: LDL,HDL,Cholesterol.","author":[{"dropping-particle":"","family":"Kumar","given":"Dr. Vinod","non-dropping-particle":"","parse-names":false,"suffix":""},{"dropping-particle":"","family":"Mathur","given":"Dr. S.L.","non-dropping-particle":"","parse-names":false,"suffix":""},{"dropping-particle":"","family":"Tuteja","given":"Dr. Rajat Kumar","non-dropping-particle":"","parse-names":false,"suffix":""}],"container-title":"International Journal of Medical and Biomedical Studies","id":"ITEM-1","issue":"6","issued":{"date-parts":[["2019"]]},"page":"76-84","title":"Effects of Thyroid Dysfunction on Lipid Profile","type":"article-journal","volume":"3"},"uris":["http://www.mendeley.com/documents/?uuid=75359c2b-bf62-485b-8b41-0325b79dde14"]}],"mendeley":{"formattedCitation":"[12]","plainTextFormattedCitation":"[12]","previouslyFormattedCitation":"[11]"},"properties":{"noteIndex":0},"schema":"https://github.com/citation-style-language/schema/raw/master/csl-citation.json"}</w:instrText>
      </w:r>
      <w:r w:rsidRPr="00DC0CC2">
        <w:rPr>
          <w:rFonts w:asciiTheme="majorBidi" w:eastAsiaTheme="minorHAnsi" w:hAnsiTheme="majorBidi" w:cstheme="majorBidi"/>
          <w:kern w:val="2"/>
          <w:vertAlign w:val="superscript"/>
          <w:lang w:bidi="ar-IQ"/>
          <w14:ligatures w14:val="standardContextual"/>
        </w:rPr>
        <w:fldChar w:fldCharType="separate"/>
      </w:r>
      <w:r w:rsidRPr="00DC0CC2">
        <w:rPr>
          <w:rFonts w:asciiTheme="majorBidi" w:eastAsiaTheme="minorHAnsi" w:hAnsiTheme="majorBidi" w:cstheme="majorBidi"/>
          <w:bCs/>
          <w:kern w:val="2"/>
          <w:lang w:bidi="ar-IQ"/>
          <w14:ligatures w14:val="standardContextual"/>
        </w:rPr>
        <w:t>[12]</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w:t>
      </w:r>
      <w:r w:rsidR="00525BCE" w:rsidRPr="00DC0CC2">
        <w:rPr>
          <w:rFonts w:asciiTheme="majorBidi" w:eastAsiaTheme="minorHAnsi" w:hAnsiTheme="majorBidi" w:cstheme="majorBidi"/>
          <w:kern w:val="2"/>
          <w:lang w:bidi="ar-IQ"/>
          <w14:ligatures w14:val="standardContextual"/>
        </w:rPr>
        <w:t xml:space="preserve"> </w:t>
      </w:r>
      <w:r w:rsidRPr="00DC0CC2">
        <w:rPr>
          <w:rFonts w:asciiTheme="majorBidi" w:eastAsiaTheme="minorHAnsi" w:hAnsiTheme="majorBidi" w:cstheme="majorBidi"/>
          <w:kern w:val="2"/>
          <w:lang w:bidi="ar-IQ"/>
          <w14:ligatures w14:val="standardContextual"/>
        </w:rPr>
        <w:t xml:space="preserve">Many Iraqi studies have examined the relationship between inflammatory variables and various diseases </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{"citationItems":[{"id":"ITEM-1","itemData":{"abstract":"Hepatitis B is a possibly life-threatening liver contagion produced by the hepatitis B virus (HBV). It is a main worldwide health issue. It can cause chronic contagion &amp; puts societies at great danger of death from cirrhosis &amp; liver malignancy. The goal of the current research was to measure four important parameters in cases with chronic hepatitis B (CHB) (the amount of IL-17, IL-37, IL-38 &amp; vitamin E). These factors were surveyed in CHB patients to compare with healthy controls &amp; study the association among these markers with other parameters in the study. Population consists of 40 patients diagnosed with CHB &amp; a healthy controls (HC) group of 39 person. IL-17, IL-37, IL-38 &amp; vitamin E levels were assessed in all subjects by using available ELISA kits from Mybiosource company; USA. serum concentrations of IL-17 &amp; IL-37 were importantly greater in HBV group compared to control group, while serum levels of IL-38 &amp; vitamin E were importantly lesser in CHB cases compared to HC also vitamin E showed weakly negative correlation with IL-17 &amp; weakly positive correlation with IL-37 &amp; IL-38. The study recommends that IL-17 &amp; IL-37 levels may be a useful indicator to identification HBV in primary phases so that we should monitor these markers concentrations in blood of constantly to sustain their health.","author":[{"dropping-particle":"","family":"Tuleab Alaaraji","given":"Shakir F.","non-dropping-particle":"","parse-names":false,"suffix":""}],"container-title":"Journal of Physics: Conference Series","id":"ITEM-1","issue":"5","issued":{"date-parts":[["2019"]]},"title":"Exploration of the Relationship between Interleukins 17, 37 and 38 with Vitamin E in Iraqi Men with CHB","type":"article-journal","volume":"1294"},"uris":["http://www.mendeley.com/documents/?uuid=0faf9316-5645-48ed-8d01-0be77c2bd05b"]}],"mendeley":{"formattedCitation":"[13]","manualFormatting":"[13","plainTextFormattedCitation":"[13]","previouslyFormattedCitation":"[12]"},"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[13</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w:t>
      </w:r>
      <w:r w:rsidRPr="00DC0CC2">
        <w:rPr>
          <w:rFonts w:asciiTheme="majorBidi" w:eastAsiaTheme="minorHAnsi" w:hAnsiTheme="majorBidi" w:cstheme="majorBidi"/>
          <w:kern w:val="2"/>
          <w:lang w:bidi="ar-IQ"/>
          <w14:ligatures w14:val="standardContextual"/>
        </w:rPr>
        <w:fldChar w:fldCharType="begin" w:fldLock="1"/>
      </w:r>
      <w:r w:rsidRPr="00DC0CC2">
        <w:rPr>
          <w:rFonts w:asciiTheme="majorBidi" w:eastAsiaTheme="minorHAnsi" w:hAnsiTheme="majorBidi" w:cstheme="majorBidi"/>
          <w:kern w:val="2"/>
          <w:lang w:bidi="ar-IQ"/>
          <w14:ligatures w14:val="standardContextual"/>
        </w:rPr>
        <w:instrText>ADDIN CSL_CITATION {"citationItems":[{"id":"ITEM-1","itemData":{"abstract":"Background: Chronic kidney disease (CKD), is a major public health challenge worldwide. It is more prevalent in developed countries compared with the rest of the world, due to the higher rates of life expectancy and unhealthy lifestyle related factors. This aim of the current study is to evaluate the relationship between interleukins IL-2 and IL-17 concentrations and kidney function markers in men with CKD. Methods: Forty-five men with CKD and seventy controls were enrolled in the current study to assess the relationship between interleukin-2 (IL-2), interleukin-17 (IL-17), and CKD parameters. Fasting blood samples were collected from patients with CKD and their controls at same time. Serum IL-2, and IL-17 were measured in patients with CKD and their controls, and then the relationship between these interleukins and serum creatinine, serum urea, serum uric acid and urine albumin were evaluated. Results: A significant relationship was detected between IL-2 (p&lt; 0.001), IL-17 (p&lt; 0.001) levels and serum creatinine concentrations. The significant increase of IL-2 and IL-17 levels were also paralleled with a significant increase in serum urea (p&lt; 0.001), and urine albumin (p&lt; 0.001) concentrations respectively. Conclusions: IL-2 and IL-17 may play a critical role in the pathophysiology of CKD. The significant increase of IL-2 and IL-17 is associated with significantly high concentrations of creatinine, serum urea and urine albumin suggesting that these interleukins may be used as targets for future biomarkers and molecular therapy. However, due to limited sample size of the current study, larger prospective cohorts are needed to confirm these observations.","author":[{"dropping-particle":"","family":"Al-Rawi","given":"Khalid Farouq","non-dropping-particle":"","parse-names":false,"suffix":""},{"dropping-particle":"","family":"Ali","given":"Hameed Hussein","non-dropping-particle":"","parse-names":false,"suffix":""},{"dropping-particle":"","family":"Guma","given":"Manaf Abdulrahman","non-dropping-particle":"","parse-names":false,"suffix":""},{"dropping-particle":"","family":"Aldahham","given":"Bilal Jasir Mohammed","non-dropping-particle":"","parse-names":false,"suffix":""},{"dropping-particle":"","family":"Alaaraji","given":"Shakir Faris Tuleab","non-dropping-particle":"","parse-names":false,"suffix":""},{"dropping-particle":"","family":"Al-Ani","given":"Osamah","non-dropping-particle":"","parse-names":false,"suffix":""},{"dropping-particle":"","family":"Ali","given":"Aus Tariq","non-dropping-particle":"","parse-names":false,"suffix":""}],"container-title":"Reports of Biochemistry and Molecular Biology","id":"ITEM-1","issue":"4","issued":{"date-parts":[["2022"]]},"page":"664-674","title":"Relationship Between IL-2, IL-17 Concentrations, and Serum Creatinine Levels in Men with Chronic Kidney Diseases","type":"article-journal","volume":"10"},"uris":["http://www.mendeley.com/documents/?uuid=24a0c7a3-564c-42fb-b41e-3b5e5a504f42"]}],"mendeley":{"formattedCitation":"[14]","manualFormatting":"14]","plainTextFormattedCitation":"[14]","previouslyFormattedCitation":"[13]"},"properties":{"noteIndex":0},"schema":"https://github.com/citation-style-language/schema/raw/master/csl-citation.json"}</w:instrText>
      </w:r>
      <w:r w:rsidRPr="00DC0CC2">
        <w:rPr>
          <w:rFonts w:asciiTheme="majorBidi" w:eastAsiaTheme="minorHAnsi" w:hAnsiTheme="majorBidi" w:cstheme="majorBidi"/>
          <w:kern w:val="2"/>
          <w:lang w:bidi="ar-IQ"/>
          <w14:ligatures w14:val="standardContextual"/>
        </w:rPr>
        <w:fldChar w:fldCharType="separate"/>
      </w:r>
      <w:r w:rsidRPr="00DC0CC2">
        <w:rPr>
          <w:rFonts w:asciiTheme="majorBidi" w:eastAsiaTheme="minorHAnsi" w:hAnsiTheme="majorBidi" w:cstheme="majorBidi"/>
          <w:kern w:val="2"/>
          <w:lang w:bidi="ar-IQ"/>
          <w14:ligatures w14:val="standardContextual"/>
        </w:rPr>
        <w:t>14]</w:t>
      </w:r>
      <w:r w:rsidRPr="00DC0CC2">
        <w:rPr>
          <w:rFonts w:asciiTheme="majorBidi" w:eastAsiaTheme="minorHAnsi" w:hAnsiTheme="majorBidi" w:cstheme="majorBidi"/>
          <w:kern w:val="2"/>
          <w:lang w:bidi="ar-IQ"/>
          <w14:ligatures w14:val="standardContextual"/>
        </w:rPr>
        <w:fldChar w:fldCharType="end"/>
      </w:r>
      <w:r w:rsidRPr="00DC0CC2">
        <w:rPr>
          <w:rFonts w:asciiTheme="majorBidi" w:eastAsiaTheme="minorHAnsi" w:hAnsiTheme="majorBidi" w:cstheme="majorBidi"/>
          <w:kern w:val="2"/>
          <w:lang w:bidi="ar-IQ"/>
          <w14:ligatures w14:val="standardContextual"/>
        </w:rPr>
        <w:t xml:space="preserve">, but this study is the first to study the relationship of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to thyroid dysfunction.</w:t>
      </w:r>
    </w:p>
    <w:p w14:paraId="1E5AC1BA" w14:textId="19AD33D0" w:rsidR="00983889" w:rsidRPr="00DC0CC2" w:rsidRDefault="00EF3FC0" w:rsidP="00DC0CC2">
      <w:pPr>
        <w:widowControl w:val="0"/>
        <w:autoSpaceDE w:val="0"/>
        <w:autoSpaceDN w:val="0"/>
        <w:adjustRightInd w:val="0"/>
        <w:spacing w:before="100" w:after="100" w:line="276" w:lineRule="auto"/>
        <w:ind w:firstLine="567"/>
        <w:jc w:val="both"/>
        <w:rPr>
          <w:rFonts w:asciiTheme="majorBidi" w:eastAsiaTheme="minorHAnsi" w:hAnsiTheme="majorBidi" w:cstheme="majorBidi"/>
          <w:kern w:val="2"/>
          <w:lang w:bidi="ar-IQ"/>
          <w14:ligatures w14:val="standardContextual"/>
        </w:rPr>
      </w:pPr>
      <w:r w:rsidRPr="00DC0CC2">
        <w:rPr>
          <w:rFonts w:asciiTheme="majorBidi" w:eastAsiaTheme="minorHAnsi" w:hAnsiTheme="majorBidi" w:cstheme="majorBidi"/>
          <w:kern w:val="2"/>
          <w:lang w:bidi="ar-IQ"/>
          <w14:ligatures w14:val="standardContextual"/>
        </w:rPr>
        <w:t xml:space="preserve">This study aims to compare serum </w:t>
      </w:r>
      <w:proofErr w:type="spellStart"/>
      <w:r w:rsidRPr="00DC0CC2">
        <w:rPr>
          <w:rFonts w:asciiTheme="majorBidi" w:eastAsiaTheme="minorHAnsi" w:hAnsiTheme="majorBidi" w:cstheme="majorBidi"/>
          <w:kern w:val="2"/>
          <w:lang w:bidi="ar-IQ"/>
          <w14:ligatures w14:val="standardContextual"/>
        </w:rPr>
        <w:t>neudesin</w:t>
      </w:r>
      <w:proofErr w:type="spellEnd"/>
      <w:r w:rsidRPr="00DC0CC2">
        <w:rPr>
          <w:rFonts w:asciiTheme="majorBidi" w:eastAsiaTheme="minorHAnsi" w:hAnsiTheme="majorBidi" w:cstheme="majorBidi"/>
          <w:kern w:val="2"/>
          <w:lang w:bidi="ar-IQ"/>
          <w14:ligatures w14:val="standardContextual"/>
        </w:rPr>
        <w:t xml:space="preserve"> levels and lipid profiles between people with and without thyroid dysfunction</w:t>
      </w:r>
      <w:r w:rsidR="00983889" w:rsidRPr="00DC0CC2">
        <w:rPr>
          <w:rFonts w:asciiTheme="majorBidi" w:eastAsiaTheme="minorHAnsi" w:hAnsiTheme="majorBidi" w:cstheme="majorBidi"/>
          <w:kern w:val="2"/>
          <w:lang w:bidi="ar-IQ"/>
          <w14:ligatures w14:val="standardContextual"/>
        </w:rPr>
        <w:t>.</w:t>
      </w:r>
    </w:p>
    <w:p w14:paraId="361D4E80" w14:textId="77777777" w:rsidR="00022D71" w:rsidRPr="00DC0CC2" w:rsidRDefault="00022D71" w:rsidP="00DC0CC2">
      <w:pPr>
        <w:widowControl w:val="0"/>
        <w:autoSpaceDE w:val="0"/>
        <w:autoSpaceDN w:val="0"/>
        <w:adjustRightInd w:val="0"/>
        <w:spacing w:before="100" w:after="100" w:line="276" w:lineRule="auto"/>
        <w:jc w:val="both"/>
        <w:rPr>
          <w:rFonts w:ascii="Times New Roman" w:hAnsi="Times New Roman" w:cs="Times New Roman"/>
          <w:b/>
          <w:bCs/>
          <w:lang w:bidi="ar-IQ"/>
        </w:rPr>
      </w:pPr>
      <w:r w:rsidRPr="00DC0CC2">
        <w:rPr>
          <w:rFonts w:ascii="Times New Roman" w:hAnsi="Times New Roman" w:cs="Times New Roman"/>
          <w:b/>
          <w:bCs/>
          <w:lang w:bidi="ar-IQ"/>
        </w:rPr>
        <w:t xml:space="preserve">2. MATERIALS AND METHODS </w:t>
      </w:r>
    </w:p>
    <w:p w14:paraId="1AFC147E" w14:textId="77777777" w:rsidR="00EF3FC0" w:rsidRPr="00DC0CC2" w:rsidRDefault="00EF3FC0" w:rsidP="00DC0CC2">
      <w:pPr>
        <w:widowControl w:val="0"/>
        <w:autoSpaceDE w:val="0"/>
        <w:autoSpaceDN w:val="0"/>
        <w:adjustRightInd w:val="0"/>
        <w:spacing w:before="100" w:after="100" w:line="276" w:lineRule="auto"/>
        <w:ind w:firstLine="567"/>
        <w:jc w:val="both"/>
        <w:rPr>
          <w:rFonts w:ascii="Times New Roman" w:hAnsi="Times New Roman" w:cs="Times New Roman"/>
          <w:lang w:bidi="ar-IQ"/>
        </w:rPr>
      </w:pPr>
      <w:r w:rsidRPr="00DC0CC2">
        <w:rPr>
          <w:rFonts w:ascii="Times New Roman" w:hAnsi="Times New Roman" w:cs="Times New Roman"/>
          <w:lang w:bidi="ar-IQ"/>
        </w:rPr>
        <w:t xml:space="preserve">Present study included 56 females with TDs patients (28 hypothyroidism and 28 hyperthyroidism). Their age ranged from 20-60 years, a study was conducted in more than one medical laboratory from October 2022 to December 2022, moreover. Control group included 28 healthy females who apparently don't have any disease and without a history of thyroid problems; they were selected randomly and their ages from 20 to 60 years. They were considered as a control group. To determine the concentrations of </w:t>
      </w:r>
      <w:proofErr w:type="spellStart"/>
      <w:r w:rsidRPr="00DC0CC2">
        <w:rPr>
          <w:rFonts w:ascii="Times New Roman" w:hAnsi="Times New Roman" w:cs="Times New Roman"/>
          <w:lang w:bidi="ar-IQ"/>
        </w:rPr>
        <w:t>neudesin</w:t>
      </w:r>
      <w:proofErr w:type="spellEnd"/>
      <w:r w:rsidRPr="00DC0CC2">
        <w:rPr>
          <w:rFonts w:ascii="Times New Roman" w:hAnsi="Times New Roman" w:cs="Times New Roman"/>
          <w:lang w:bidi="ar-IQ"/>
        </w:rPr>
        <w:t xml:space="preserve"> in the subjects, we used ELISA kits (BT LAB Inc. China), while TGs, </w:t>
      </w:r>
      <w:proofErr w:type="spellStart"/>
      <w:r w:rsidRPr="00DC0CC2">
        <w:rPr>
          <w:rFonts w:ascii="Times New Roman" w:hAnsi="Times New Roman" w:cs="Times New Roman"/>
          <w:lang w:bidi="ar-IQ"/>
        </w:rPr>
        <w:t>T.Cho</w:t>
      </w:r>
      <w:proofErr w:type="spellEnd"/>
      <w:r w:rsidRPr="00DC0CC2">
        <w:rPr>
          <w:rFonts w:ascii="Times New Roman" w:hAnsi="Times New Roman" w:cs="Times New Roman"/>
          <w:lang w:bidi="ar-IQ"/>
        </w:rPr>
        <w:t>, and HDL-C were measured using enzymatic colorimetric techniques.</w:t>
      </w:r>
    </w:p>
    <w:p w14:paraId="53AAF44C" w14:textId="77777777" w:rsidR="00EF3FC0" w:rsidRPr="00DC0CC2" w:rsidRDefault="00EF3FC0" w:rsidP="00DC0CC2">
      <w:pPr>
        <w:widowControl w:val="0"/>
        <w:autoSpaceDE w:val="0"/>
        <w:autoSpaceDN w:val="0"/>
        <w:adjustRightInd w:val="0"/>
        <w:spacing w:before="100" w:after="100" w:line="276" w:lineRule="auto"/>
        <w:ind w:firstLine="567"/>
        <w:jc w:val="both"/>
        <w:rPr>
          <w:rFonts w:ascii="Times New Roman" w:hAnsi="Times New Roman" w:cs="Times New Roman"/>
          <w:rtl/>
          <w:lang w:bidi="ar-IQ"/>
        </w:rPr>
      </w:pPr>
      <w:r w:rsidRPr="00DC0CC2">
        <w:rPr>
          <w:rFonts w:ascii="Times New Roman" w:hAnsi="Times New Roman" w:cs="Times New Roman"/>
          <w:b/>
          <w:bCs/>
          <w:lang w:bidi="ar-IQ"/>
        </w:rPr>
        <w:t>Exclusion criteria:</w:t>
      </w:r>
      <w:r w:rsidRPr="00DC0CC2">
        <w:rPr>
          <w:rFonts w:ascii="Times New Roman" w:hAnsi="Times New Roman" w:cs="Times New Roman"/>
          <w:lang w:bidi="ar-IQ"/>
        </w:rPr>
        <w:t xml:space="preserve"> The study excluded patients with any chronic or immune diseases like diabetic disease, infection, and inflammation, and patients suffering </w:t>
      </w:r>
      <w:r w:rsidRPr="00DC0CC2">
        <w:rPr>
          <w:rFonts w:asciiTheme="majorBidi" w:eastAsiaTheme="minorHAnsi" w:hAnsiTheme="majorBidi" w:cstheme="majorBidi"/>
          <w:kern w:val="2"/>
          <w:lang w:bidi="ar-IQ"/>
          <w14:ligatures w14:val="standardContextual"/>
        </w:rPr>
        <w:t>from</w:t>
      </w:r>
      <w:r w:rsidRPr="00DC0CC2">
        <w:rPr>
          <w:rFonts w:ascii="Times New Roman" w:hAnsi="Times New Roman" w:cs="Times New Roman"/>
          <w:lang w:bidi="ar-IQ"/>
        </w:rPr>
        <w:t xml:space="preserve"> cancer and kidney diseases.</w:t>
      </w:r>
    </w:p>
    <w:p w14:paraId="606AEF3C" w14:textId="77777777" w:rsidR="00EF3FC0" w:rsidRPr="00DC0CC2" w:rsidRDefault="00EF3FC0" w:rsidP="00DC0CC2">
      <w:pPr>
        <w:widowControl w:val="0"/>
        <w:autoSpaceDE w:val="0"/>
        <w:autoSpaceDN w:val="0"/>
        <w:adjustRightInd w:val="0"/>
        <w:spacing w:before="100" w:after="100" w:line="276" w:lineRule="auto"/>
        <w:jc w:val="both"/>
        <w:rPr>
          <w:rFonts w:ascii="Times New Roman" w:hAnsi="Times New Roman" w:cs="Times New Roman"/>
          <w:b/>
          <w:bCs/>
          <w:lang w:bidi="ar-IQ"/>
        </w:rPr>
      </w:pPr>
      <w:r w:rsidRPr="00DC0CC2">
        <w:rPr>
          <w:rFonts w:ascii="Times New Roman" w:hAnsi="Times New Roman" w:cs="Times New Roman"/>
          <w:b/>
          <w:bCs/>
          <w:lang w:bidi="ar-IQ"/>
        </w:rPr>
        <w:t>Statistical Analysis</w:t>
      </w:r>
    </w:p>
    <w:p w14:paraId="4BC679FB" w14:textId="362A7552" w:rsidR="00EF3FC0" w:rsidRPr="00DC0CC2" w:rsidRDefault="00EF3FC0" w:rsidP="00DC0CC2">
      <w:pPr>
        <w:widowControl w:val="0"/>
        <w:autoSpaceDE w:val="0"/>
        <w:autoSpaceDN w:val="0"/>
        <w:adjustRightInd w:val="0"/>
        <w:spacing w:before="100" w:after="100" w:line="276" w:lineRule="auto"/>
        <w:ind w:firstLine="567"/>
        <w:jc w:val="both"/>
        <w:rPr>
          <w:rFonts w:ascii="Times New Roman" w:hAnsi="Times New Roman" w:cs="Times New Roman"/>
          <w:lang w:bidi="ar-IQ"/>
        </w:rPr>
      </w:pPr>
      <w:r w:rsidRPr="00DC0CC2">
        <w:rPr>
          <w:rFonts w:ascii="Times New Roman" w:hAnsi="Times New Roman" w:cs="Times New Roman"/>
          <w:b/>
          <w:bCs/>
          <w:lang w:bidi="ar-IQ"/>
        </w:rPr>
        <w:tab/>
      </w:r>
      <w:r w:rsidRPr="00DC0CC2">
        <w:rPr>
          <w:rFonts w:ascii="Times New Roman" w:hAnsi="Times New Roman" w:cs="Times New Roman"/>
          <w:lang w:bidi="ar-IQ"/>
        </w:rPr>
        <w:t xml:space="preserve">We used Graph Pad Prism </w:t>
      </w:r>
      <w:r w:rsidRPr="00DC0CC2">
        <w:rPr>
          <w:rFonts w:asciiTheme="majorBidi" w:eastAsiaTheme="minorHAnsi" w:hAnsiTheme="majorBidi" w:cstheme="majorBidi"/>
          <w:kern w:val="2"/>
          <w:lang w:bidi="ar-IQ"/>
          <w14:ligatures w14:val="standardContextual"/>
        </w:rPr>
        <w:t>version</w:t>
      </w:r>
      <w:r w:rsidRPr="00DC0CC2">
        <w:rPr>
          <w:rFonts w:ascii="Times New Roman" w:hAnsi="Times New Roman" w:cs="Times New Roman"/>
          <w:lang w:bidi="ar-IQ"/>
        </w:rPr>
        <w:t xml:space="preserve"> 7 to look at the data. As basic measures, the standard deviation (SD) and mean numbers were used to show the data. When analyzing quantitative data with more than two means, the analysis of variance (ANOVA) test was employed to draw conclusions about the importance of the data. When the P value was 0.05 or below, statistical significance was taken into account. To determine the relationship between two numerical variables, Pearson correlation was used. The ROC analysis (Receiver Operator Curve) was also implemented. How successfully a parameter separates three groups, one of which is a control group, may be determined by calculating the area under the ROC curve.</w:t>
      </w:r>
      <w:r w:rsidR="00525BCE" w:rsidRPr="00DC0CC2">
        <w:rPr>
          <w:rFonts w:ascii="Times New Roman" w:hAnsi="Times New Roman" w:cs="Times New Roman"/>
          <w:lang w:bidi="ar-IQ"/>
        </w:rPr>
        <w:t xml:space="preserve"> </w:t>
      </w:r>
      <w:r w:rsidRPr="00DC0CC2">
        <w:rPr>
          <w:rFonts w:ascii="Times New Roman" w:hAnsi="Times New Roman" w:cs="Times New Roman"/>
          <w:lang w:bidi="ar-IQ"/>
        </w:rPr>
        <w:t>A cut-off value was calculated for each variable, well as sensitivity (</w:t>
      </w:r>
      <w:proofErr w:type="spellStart"/>
      <w:r w:rsidRPr="00DC0CC2">
        <w:rPr>
          <w:rFonts w:ascii="Times New Roman" w:hAnsi="Times New Roman" w:cs="Times New Roman"/>
          <w:lang w:bidi="ar-IQ"/>
        </w:rPr>
        <w:t>sen</w:t>
      </w:r>
      <w:proofErr w:type="spellEnd"/>
      <w:r w:rsidRPr="00DC0CC2">
        <w:rPr>
          <w:rFonts w:ascii="Times New Roman" w:hAnsi="Times New Roman" w:cs="Times New Roman"/>
          <w:lang w:bidi="ar-IQ"/>
        </w:rPr>
        <w:t>%), specificity (spec%)</w:t>
      </w:r>
      <w:r w:rsidRPr="00DC0CC2">
        <w:rPr>
          <w:rFonts w:ascii="Times New Roman" w:hAnsi="Times New Roman" w:cs="Times New Roman"/>
          <w:rtl/>
        </w:rPr>
        <w:t xml:space="preserve">, </w:t>
      </w:r>
      <w:r w:rsidRPr="00DC0CC2">
        <w:rPr>
          <w:rFonts w:ascii="Times New Roman" w:hAnsi="Times New Roman" w:cs="Times New Roman"/>
          <w:lang w:bidi="ar-IQ"/>
        </w:rPr>
        <w:t>and likelihood ratio (LHR).</w:t>
      </w:r>
    </w:p>
    <w:p w14:paraId="08A9139E" w14:textId="77777777" w:rsidR="007643C0" w:rsidRPr="00DC0CC2" w:rsidRDefault="007643C0" w:rsidP="00DC0CC2">
      <w:pPr>
        <w:widowControl w:val="0"/>
        <w:autoSpaceDE w:val="0"/>
        <w:autoSpaceDN w:val="0"/>
        <w:adjustRightInd w:val="0"/>
        <w:spacing w:before="100" w:after="100" w:line="276" w:lineRule="auto"/>
        <w:jc w:val="both"/>
        <w:rPr>
          <w:rFonts w:ascii="Times New Roman" w:hAnsi="Times New Roman" w:cs="Times New Roman"/>
          <w:b/>
          <w:bCs/>
          <w:lang w:bidi="ar-IQ"/>
        </w:rPr>
      </w:pPr>
      <w:r w:rsidRPr="00DC0CC2">
        <w:rPr>
          <w:rFonts w:ascii="Times New Roman" w:hAnsi="Times New Roman" w:cs="Times New Roman"/>
          <w:b/>
          <w:bCs/>
          <w:lang w:bidi="ar-IQ"/>
        </w:rPr>
        <w:lastRenderedPageBreak/>
        <w:t>3. RESULTS AND DISCUSSION</w:t>
      </w:r>
    </w:p>
    <w:p w14:paraId="54A7C342" w14:textId="77777777" w:rsidR="00F92C74" w:rsidRPr="00DC0CC2" w:rsidRDefault="00F92C74" w:rsidP="00DC0CC2">
      <w:pPr>
        <w:widowControl w:val="0"/>
        <w:autoSpaceDE w:val="0"/>
        <w:autoSpaceDN w:val="0"/>
        <w:adjustRightInd w:val="0"/>
        <w:spacing w:before="100" w:after="100" w:line="276" w:lineRule="auto"/>
        <w:ind w:firstLine="567"/>
        <w:jc w:val="both"/>
        <w:rPr>
          <w:rFonts w:ascii="Times New Roman" w:hAnsi="Times New Roman" w:cs="Times New Roman"/>
          <w:b/>
          <w:bCs/>
          <w:lang w:bidi="ar-IQ"/>
        </w:rPr>
      </w:pPr>
      <w:r w:rsidRPr="00DC0CC2">
        <w:rPr>
          <w:rFonts w:ascii="Times New Roman" w:hAnsi="Times New Roman" w:cs="Times New Roman"/>
          <w:lang w:bidi="ar-IQ"/>
        </w:rPr>
        <w:t>T</w:t>
      </w:r>
      <w:r w:rsidRPr="00DC0CC2">
        <w:rPr>
          <w:rFonts w:ascii="Times New Roman" w:hAnsi="Times New Roman" w:cs="Times New Roman"/>
          <w:b/>
          <w:bCs/>
          <w:lang w:bidi="ar-IQ"/>
        </w:rPr>
        <w:t>able 1</w:t>
      </w:r>
      <w:r w:rsidRPr="00DC0CC2">
        <w:rPr>
          <w:rFonts w:ascii="Times New Roman" w:hAnsi="Times New Roman" w:cs="Times New Roman"/>
          <w:lang w:bidi="ar-IQ"/>
        </w:rPr>
        <w:t xml:space="preserve">, demonstrates the common experimental characteristics of the participants mentioned, with a mean age of 37.75 years among HCs, 39.3 years in </w:t>
      </w:r>
      <w:r w:rsidRPr="00DC0CC2">
        <w:rPr>
          <w:rFonts w:asciiTheme="majorBidi" w:eastAsiaTheme="minorHAnsi" w:hAnsiTheme="majorBidi" w:cstheme="majorBidi"/>
          <w:kern w:val="2"/>
          <w:lang w:bidi="ar-IQ"/>
          <w14:ligatures w14:val="standardContextual"/>
        </w:rPr>
        <w:t>hypothyroidism</w:t>
      </w:r>
      <w:r w:rsidRPr="00DC0CC2">
        <w:rPr>
          <w:rFonts w:ascii="Times New Roman" w:hAnsi="Times New Roman" w:cs="Times New Roman"/>
          <w:lang w:bidi="ar-IQ"/>
        </w:rPr>
        <w:t xml:space="preserve"> patients, and 38.54 years in hyperthyroidism patients (P=0.8662). Results demonstrated that TD patients had importantly lower serum </w:t>
      </w:r>
      <w:proofErr w:type="spellStart"/>
      <w:r w:rsidRPr="00DC0CC2">
        <w:rPr>
          <w:rFonts w:ascii="Times New Roman" w:hAnsi="Times New Roman" w:cs="Times New Roman"/>
          <w:lang w:bidi="ar-IQ"/>
        </w:rPr>
        <w:t>neudesin</w:t>
      </w:r>
      <w:proofErr w:type="spellEnd"/>
      <w:r w:rsidRPr="00DC0CC2">
        <w:rPr>
          <w:rFonts w:ascii="Times New Roman" w:hAnsi="Times New Roman" w:cs="Times New Roman"/>
          <w:lang w:bidi="ar-IQ"/>
        </w:rPr>
        <w:t xml:space="preserve"> levels (</w:t>
      </w:r>
      <w:proofErr w:type="spellStart"/>
      <w:r w:rsidRPr="00DC0CC2">
        <w:rPr>
          <w:rFonts w:ascii="Times New Roman" w:hAnsi="Times New Roman" w:cs="Times New Roman"/>
          <w:lang w:bidi="ar-IQ"/>
        </w:rPr>
        <w:t>ng</w:t>
      </w:r>
      <w:proofErr w:type="spellEnd"/>
      <w:r w:rsidRPr="00DC0CC2">
        <w:rPr>
          <w:rFonts w:ascii="Times New Roman" w:hAnsi="Times New Roman" w:cs="Times New Roman"/>
          <w:lang w:bidi="ar-IQ"/>
        </w:rPr>
        <w:t>/mL) compared to HCs (p&lt;0.0001), also showed that the levels of T3 significantly higher in hyperthyroidism than hypothyroidism and HCs (p&lt;0.0001), the current study also shown that hyperthyroidism had considerably greater T4 levels than hypothyroidism and HCs (p</w:t>
      </w:r>
      <w:r w:rsidRPr="00DC0CC2">
        <w:rPr>
          <w:rFonts w:ascii="Times New Roman" w:hAnsi="Times New Roman" w:cs="Times New Roman" w:hint="cs"/>
          <w:rtl/>
          <w:lang w:bidi="ar-IQ"/>
        </w:rPr>
        <w:t>&gt;</w:t>
      </w:r>
      <w:r w:rsidRPr="00DC0CC2">
        <w:rPr>
          <w:rFonts w:ascii="Times New Roman" w:hAnsi="Times New Roman" w:cs="Times New Roman"/>
          <w:lang w:bidi="ar-IQ"/>
        </w:rPr>
        <w:t>0.0001)</w:t>
      </w:r>
      <w:r w:rsidRPr="00DC0CC2">
        <w:rPr>
          <w:rFonts w:ascii="Times New Roman" w:hAnsi="Times New Roman" w:cs="Times New Roman"/>
          <w:b/>
          <w:bCs/>
          <w:lang w:bidi="ar-IQ"/>
        </w:rPr>
        <w:t xml:space="preserve">, </w:t>
      </w:r>
      <w:r w:rsidRPr="00DC0CC2">
        <w:rPr>
          <w:rFonts w:ascii="Times New Roman" w:hAnsi="Times New Roman" w:cs="Times New Roman"/>
          <w:lang w:bidi="ar-IQ"/>
        </w:rPr>
        <w:t>however TSH was significant higher in hypothyroidism than hyperthyroidism and HCs (p&lt;0.0001)</w:t>
      </w:r>
      <w:r w:rsidRPr="00DC0CC2">
        <w:rPr>
          <w:rFonts w:ascii="Times New Roman" w:hAnsi="Times New Roman" w:cs="Times New Roman"/>
          <w:b/>
          <w:bCs/>
          <w:lang w:bidi="ar-IQ"/>
        </w:rPr>
        <w:t>,</w:t>
      </w:r>
      <w:r w:rsidRPr="00DC0CC2">
        <w:rPr>
          <w:rFonts w:ascii="Times New Roman" w:hAnsi="Times New Roman" w:cs="Times New Roman"/>
          <w:lang w:bidi="ar-IQ"/>
        </w:rPr>
        <w:t xml:space="preserve"> there were significant difference in total cholesterol (</w:t>
      </w:r>
      <w:proofErr w:type="spellStart"/>
      <w:r w:rsidRPr="00DC0CC2">
        <w:rPr>
          <w:rFonts w:ascii="Times New Roman" w:hAnsi="Times New Roman" w:cs="Times New Roman"/>
          <w:lang w:bidi="ar-IQ"/>
        </w:rPr>
        <w:t>T.Cho</w:t>
      </w:r>
      <w:proofErr w:type="spellEnd"/>
      <w:r w:rsidRPr="00DC0CC2">
        <w:rPr>
          <w:rFonts w:ascii="Times New Roman" w:hAnsi="Times New Roman" w:cs="Times New Roman"/>
          <w:lang w:bidi="ar-IQ"/>
        </w:rPr>
        <w:t xml:space="preserve">.) in hypo-hyperthyroidism patients than HCs p-value of </w:t>
      </w:r>
      <w:proofErr w:type="spellStart"/>
      <w:r w:rsidRPr="00DC0CC2">
        <w:rPr>
          <w:rFonts w:ascii="Times New Roman" w:hAnsi="Times New Roman" w:cs="Times New Roman"/>
          <w:lang w:bidi="ar-IQ"/>
        </w:rPr>
        <w:t>T.Cho</w:t>
      </w:r>
      <w:proofErr w:type="spellEnd"/>
      <w:r w:rsidRPr="00DC0CC2">
        <w:rPr>
          <w:rFonts w:ascii="Times New Roman" w:hAnsi="Times New Roman" w:cs="Times New Roman"/>
          <w:lang w:bidi="ar-IQ"/>
        </w:rPr>
        <w:t xml:space="preserve"> (p&lt;0.0001), but showed that the levels of TGs (mg/</w:t>
      </w:r>
      <w:proofErr w:type="spellStart"/>
      <w:r w:rsidRPr="00DC0CC2">
        <w:rPr>
          <w:rFonts w:ascii="Times New Roman" w:hAnsi="Times New Roman" w:cs="Times New Roman"/>
          <w:lang w:bidi="ar-IQ"/>
        </w:rPr>
        <w:t>dL</w:t>
      </w:r>
      <w:proofErr w:type="spellEnd"/>
      <w:r w:rsidRPr="00DC0CC2">
        <w:rPr>
          <w:rFonts w:ascii="Times New Roman" w:hAnsi="Times New Roman" w:cs="Times New Roman"/>
          <w:lang w:bidi="ar-IQ"/>
        </w:rPr>
        <w:t>) significantly higher in hypothyroidism and HCs compared to hyperthyroidism p-value of TG (p&lt;0.0001), however HDL was lower in hypo-hyperthyroidism patients than HCs (p=0.0765). also this study showed the levels of LDL were significant higher in hypothyroidism with non-significantly in hyperthyroidism with HCs (p&lt;0.0001), but there were significant difference in VLDL in hypothyroidism and HCs cases than in hyperthyroidism with (p&lt;0.0001)</w:t>
      </w:r>
      <w:r w:rsidRPr="00DC0CC2">
        <w:rPr>
          <w:rFonts w:ascii="Times New Roman" w:hAnsi="Times New Roman" w:cs="Times New Roman"/>
          <w:b/>
          <w:bCs/>
          <w:lang w:bidi="ar-IQ"/>
        </w:rPr>
        <w:t xml:space="preserve">. </w:t>
      </w:r>
    </w:p>
    <w:p w14:paraId="6941441D" w14:textId="59F4D7C8" w:rsidR="00B8587B" w:rsidRDefault="00984AEC" w:rsidP="00DC0CC2">
      <w:pPr>
        <w:jc w:val="center"/>
        <w:rPr>
          <w:rFonts w:ascii="Times New Roman" w:eastAsia="Times New Roman" w:hAnsi="Times New Roman" w:cs="Times New Roman"/>
          <w:sz w:val="20"/>
          <w:szCs w:val="20"/>
        </w:rPr>
      </w:pPr>
      <w:r w:rsidRPr="00984AEC">
        <w:rPr>
          <w:rFonts w:ascii="Times New Roman" w:eastAsia="Times New Roman" w:hAnsi="Times New Roman" w:cs="Times New Roman"/>
          <w:sz w:val="20"/>
          <w:szCs w:val="20"/>
        </w:rPr>
        <w:t>Table 1: Distribution of Studied Parameters in HCs and in (Hyper &amp; Hypothyroidism) Patients Groups</w:t>
      </w:r>
      <w:r w:rsidR="00B8587B" w:rsidRPr="00B8587B">
        <w:rPr>
          <w:rFonts w:ascii="Times New Roman" w:eastAsia="Times New Roman" w:hAnsi="Times New Roman" w:cs="Times New Roman"/>
          <w:sz w:val="20"/>
          <w:szCs w:val="20"/>
        </w:rPr>
        <w:t>.</w:t>
      </w:r>
    </w:p>
    <w:tbl>
      <w:tblPr>
        <w:tblStyle w:val="TableGrid4"/>
        <w:tblW w:w="2785" w:type="dxa"/>
        <w:jc w:val="center"/>
        <w:tblLayout w:type="fixed"/>
        <w:tblLook w:val="04A0" w:firstRow="1" w:lastRow="0" w:firstColumn="1" w:lastColumn="0" w:noHBand="0" w:noVBand="1"/>
      </w:tblPr>
      <w:tblGrid>
        <w:gridCol w:w="723"/>
        <w:gridCol w:w="361"/>
        <w:gridCol w:w="283"/>
        <w:gridCol w:w="284"/>
        <w:gridCol w:w="283"/>
        <w:gridCol w:w="284"/>
        <w:gridCol w:w="283"/>
        <w:gridCol w:w="284"/>
      </w:tblGrid>
      <w:tr w:rsidR="00F92C74" w:rsidRPr="003760E2" w14:paraId="7FB1AFDB" w14:textId="77777777" w:rsidTr="003760E2">
        <w:trPr>
          <w:trHeight w:val="925"/>
          <w:jc w:val="center"/>
        </w:trPr>
        <w:tc>
          <w:tcPr>
            <w:tcW w:w="723" w:type="dxa"/>
            <w:vMerge w:val="restart"/>
            <w:textDirection w:val="btLr"/>
            <w:vAlign w:val="center"/>
          </w:tcPr>
          <w:p w14:paraId="50BCCF75" w14:textId="77777777" w:rsidR="00F92C74" w:rsidRPr="003760E2" w:rsidRDefault="00F92C74" w:rsidP="003760E2">
            <w:pPr>
              <w:autoSpaceDE w:val="0"/>
              <w:autoSpaceDN w:val="0"/>
              <w:adjustRightInd w:val="0"/>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Parameter</w:t>
            </w:r>
          </w:p>
        </w:tc>
        <w:tc>
          <w:tcPr>
            <w:tcW w:w="644" w:type="dxa"/>
            <w:gridSpan w:val="2"/>
            <w:textDirection w:val="btLr"/>
            <w:vAlign w:val="center"/>
          </w:tcPr>
          <w:p w14:paraId="766F9052" w14:textId="77777777" w:rsidR="00F92C74" w:rsidRPr="003760E2" w:rsidRDefault="00F92C74" w:rsidP="003760E2">
            <w:pPr>
              <w:autoSpaceDE w:val="0"/>
              <w:autoSpaceDN w:val="0"/>
              <w:adjustRightInd w:val="0"/>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Controls</w:t>
            </w:r>
          </w:p>
        </w:tc>
        <w:tc>
          <w:tcPr>
            <w:tcW w:w="567" w:type="dxa"/>
            <w:gridSpan w:val="2"/>
            <w:textDirection w:val="btLr"/>
            <w:vAlign w:val="center"/>
          </w:tcPr>
          <w:p w14:paraId="31008B4F"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Hypothyroidism</w:t>
            </w:r>
          </w:p>
        </w:tc>
        <w:tc>
          <w:tcPr>
            <w:tcW w:w="567" w:type="dxa"/>
            <w:gridSpan w:val="2"/>
            <w:textDirection w:val="btLr"/>
            <w:vAlign w:val="center"/>
          </w:tcPr>
          <w:p w14:paraId="7CED105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Hyperthyroidism</w:t>
            </w:r>
          </w:p>
        </w:tc>
        <w:tc>
          <w:tcPr>
            <w:tcW w:w="284" w:type="dxa"/>
            <w:vMerge w:val="restart"/>
            <w:textDirection w:val="btLr"/>
            <w:vAlign w:val="center"/>
          </w:tcPr>
          <w:p w14:paraId="2D99C89B" w14:textId="77777777" w:rsidR="00F92C74" w:rsidRPr="003760E2" w:rsidRDefault="00F92C74" w:rsidP="003760E2">
            <w:pPr>
              <w:autoSpaceDE w:val="0"/>
              <w:autoSpaceDN w:val="0"/>
              <w:adjustRightInd w:val="0"/>
              <w:ind w:left="60" w:right="60"/>
              <w:jc w:val="center"/>
              <w:rPr>
                <w:rFonts w:asciiTheme="majorBidi" w:hAnsiTheme="majorBidi" w:cstheme="majorBidi"/>
                <w:b/>
                <w:bCs/>
                <w:sz w:val="18"/>
                <w:szCs w:val="18"/>
              </w:rPr>
            </w:pPr>
            <w:r w:rsidRPr="003760E2">
              <w:rPr>
                <w:rFonts w:asciiTheme="majorBidi" w:hAnsiTheme="majorBidi" w:cstheme="majorBidi"/>
                <w:b/>
                <w:bCs/>
                <w:sz w:val="18"/>
                <w:szCs w:val="18"/>
              </w:rPr>
              <w:t>p-value</w:t>
            </w:r>
          </w:p>
        </w:tc>
      </w:tr>
      <w:tr w:rsidR="00F92C74" w:rsidRPr="003760E2" w14:paraId="5BB0F67A" w14:textId="77777777" w:rsidTr="003760E2">
        <w:trPr>
          <w:trHeight w:val="698"/>
          <w:jc w:val="center"/>
        </w:trPr>
        <w:tc>
          <w:tcPr>
            <w:tcW w:w="723" w:type="dxa"/>
            <w:vMerge/>
            <w:textDirection w:val="btLr"/>
            <w:vAlign w:val="center"/>
          </w:tcPr>
          <w:p w14:paraId="5EB464AF" w14:textId="77777777" w:rsidR="00F92C74" w:rsidRPr="003760E2" w:rsidRDefault="00F92C74" w:rsidP="003760E2">
            <w:pPr>
              <w:ind w:left="113" w:right="113"/>
              <w:jc w:val="center"/>
              <w:rPr>
                <w:rFonts w:asciiTheme="majorBidi" w:hAnsiTheme="majorBidi" w:cstheme="majorBidi"/>
                <w:b/>
                <w:bCs/>
                <w:sz w:val="18"/>
                <w:szCs w:val="18"/>
              </w:rPr>
            </w:pPr>
          </w:p>
        </w:tc>
        <w:tc>
          <w:tcPr>
            <w:tcW w:w="361" w:type="dxa"/>
            <w:textDirection w:val="btLr"/>
            <w:vAlign w:val="center"/>
          </w:tcPr>
          <w:p w14:paraId="49877EC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Mean</w:t>
            </w:r>
          </w:p>
        </w:tc>
        <w:tc>
          <w:tcPr>
            <w:tcW w:w="283" w:type="dxa"/>
            <w:textDirection w:val="btLr"/>
            <w:vAlign w:val="center"/>
          </w:tcPr>
          <w:p w14:paraId="6E17F6D4"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SD</w:t>
            </w:r>
          </w:p>
        </w:tc>
        <w:tc>
          <w:tcPr>
            <w:tcW w:w="284" w:type="dxa"/>
            <w:textDirection w:val="btLr"/>
            <w:vAlign w:val="center"/>
          </w:tcPr>
          <w:p w14:paraId="28650EF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Mean</w:t>
            </w:r>
          </w:p>
        </w:tc>
        <w:tc>
          <w:tcPr>
            <w:tcW w:w="283" w:type="dxa"/>
            <w:textDirection w:val="btLr"/>
            <w:vAlign w:val="center"/>
          </w:tcPr>
          <w:p w14:paraId="47FCD00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SD</w:t>
            </w:r>
          </w:p>
        </w:tc>
        <w:tc>
          <w:tcPr>
            <w:tcW w:w="284" w:type="dxa"/>
            <w:textDirection w:val="btLr"/>
            <w:vAlign w:val="center"/>
          </w:tcPr>
          <w:p w14:paraId="48C4BD3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Mean</w:t>
            </w:r>
          </w:p>
        </w:tc>
        <w:tc>
          <w:tcPr>
            <w:tcW w:w="283" w:type="dxa"/>
            <w:textDirection w:val="btLr"/>
            <w:vAlign w:val="center"/>
          </w:tcPr>
          <w:p w14:paraId="3E9C7ED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SD</w:t>
            </w:r>
          </w:p>
        </w:tc>
        <w:tc>
          <w:tcPr>
            <w:tcW w:w="284" w:type="dxa"/>
            <w:vMerge/>
            <w:textDirection w:val="btLr"/>
            <w:vAlign w:val="center"/>
          </w:tcPr>
          <w:p w14:paraId="14BAC1FE" w14:textId="77777777" w:rsidR="00F92C74" w:rsidRPr="003760E2" w:rsidRDefault="00F92C74" w:rsidP="003760E2">
            <w:pPr>
              <w:autoSpaceDE w:val="0"/>
              <w:autoSpaceDN w:val="0"/>
              <w:adjustRightInd w:val="0"/>
              <w:ind w:left="60" w:right="60"/>
              <w:jc w:val="center"/>
              <w:rPr>
                <w:rFonts w:asciiTheme="majorBidi" w:hAnsiTheme="majorBidi" w:cstheme="majorBidi"/>
                <w:b/>
                <w:bCs/>
                <w:sz w:val="18"/>
                <w:szCs w:val="18"/>
              </w:rPr>
            </w:pPr>
          </w:p>
        </w:tc>
      </w:tr>
      <w:tr w:rsidR="00F92C74" w:rsidRPr="003760E2" w14:paraId="102BB44C" w14:textId="77777777" w:rsidTr="003760E2">
        <w:trPr>
          <w:cantSplit/>
          <w:trHeight w:val="835"/>
          <w:jc w:val="center"/>
        </w:trPr>
        <w:tc>
          <w:tcPr>
            <w:tcW w:w="723" w:type="dxa"/>
            <w:textDirection w:val="btLr"/>
            <w:vAlign w:val="center"/>
          </w:tcPr>
          <w:p w14:paraId="2EEC91EB" w14:textId="77777777" w:rsidR="00F92C74" w:rsidRPr="003760E2" w:rsidRDefault="00F92C74" w:rsidP="003760E2">
            <w:pPr>
              <w:ind w:left="113" w:right="113"/>
              <w:jc w:val="center"/>
              <w:rPr>
                <w:rFonts w:asciiTheme="majorBidi" w:hAnsiTheme="majorBidi" w:cstheme="majorBidi"/>
                <w:b/>
                <w:bCs/>
                <w:sz w:val="18"/>
                <w:szCs w:val="18"/>
                <w:lang w:val="fr-FR" w:bidi="ar-IQ"/>
              </w:rPr>
            </w:pPr>
            <w:r w:rsidRPr="003760E2">
              <w:rPr>
                <w:rFonts w:asciiTheme="majorBidi" w:hAnsiTheme="majorBidi" w:cstheme="majorBidi"/>
                <w:b/>
                <w:bCs/>
                <w:sz w:val="18"/>
                <w:szCs w:val="18"/>
                <w:lang w:val="fr-FR" w:bidi="ar-IQ"/>
              </w:rPr>
              <w:t xml:space="preserve">Age     </w:t>
            </w:r>
            <w:proofErr w:type="spellStart"/>
            <w:r w:rsidRPr="003760E2">
              <w:rPr>
                <w:rFonts w:asciiTheme="majorBidi" w:hAnsiTheme="majorBidi" w:cstheme="majorBidi"/>
                <w:b/>
                <w:bCs/>
                <w:sz w:val="18"/>
                <w:szCs w:val="18"/>
                <w:lang w:val="fr-FR" w:bidi="ar-IQ"/>
              </w:rPr>
              <w:t>years</w:t>
            </w:r>
            <w:proofErr w:type="spellEnd"/>
          </w:p>
        </w:tc>
        <w:tc>
          <w:tcPr>
            <w:tcW w:w="361" w:type="dxa"/>
            <w:textDirection w:val="btLr"/>
            <w:vAlign w:val="center"/>
          </w:tcPr>
          <w:p w14:paraId="44A6B7EB"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37.75</w:t>
            </w:r>
          </w:p>
        </w:tc>
        <w:tc>
          <w:tcPr>
            <w:tcW w:w="283" w:type="dxa"/>
            <w:textDirection w:val="btLr"/>
            <w:vAlign w:val="center"/>
          </w:tcPr>
          <w:p w14:paraId="4AEA7A2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11.21</w:t>
            </w:r>
          </w:p>
        </w:tc>
        <w:tc>
          <w:tcPr>
            <w:tcW w:w="284" w:type="dxa"/>
            <w:textDirection w:val="btLr"/>
            <w:vAlign w:val="center"/>
          </w:tcPr>
          <w:p w14:paraId="205D0475"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39.30</w:t>
            </w:r>
          </w:p>
        </w:tc>
        <w:tc>
          <w:tcPr>
            <w:tcW w:w="283" w:type="dxa"/>
            <w:textDirection w:val="btLr"/>
            <w:vAlign w:val="center"/>
          </w:tcPr>
          <w:p w14:paraId="2B80D1A0"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10.28</w:t>
            </w:r>
          </w:p>
        </w:tc>
        <w:tc>
          <w:tcPr>
            <w:tcW w:w="284" w:type="dxa"/>
            <w:textDirection w:val="btLr"/>
            <w:vAlign w:val="center"/>
          </w:tcPr>
          <w:p w14:paraId="07F6A7CB"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38.54</w:t>
            </w:r>
          </w:p>
        </w:tc>
        <w:tc>
          <w:tcPr>
            <w:tcW w:w="283" w:type="dxa"/>
            <w:textDirection w:val="btLr"/>
            <w:vAlign w:val="center"/>
          </w:tcPr>
          <w:p w14:paraId="1C8FC0D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9.375</w:t>
            </w:r>
          </w:p>
        </w:tc>
        <w:tc>
          <w:tcPr>
            <w:tcW w:w="284" w:type="dxa"/>
            <w:textDirection w:val="btLr"/>
            <w:vAlign w:val="center"/>
          </w:tcPr>
          <w:p w14:paraId="51E66E8B"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0.8662</w:t>
            </w:r>
          </w:p>
        </w:tc>
      </w:tr>
      <w:tr w:rsidR="00F92C74" w:rsidRPr="003760E2" w14:paraId="4C7EF2FA" w14:textId="77777777" w:rsidTr="003760E2">
        <w:trPr>
          <w:cantSplit/>
          <w:trHeight w:val="1001"/>
          <w:jc w:val="center"/>
        </w:trPr>
        <w:tc>
          <w:tcPr>
            <w:tcW w:w="723" w:type="dxa"/>
            <w:textDirection w:val="btLr"/>
            <w:vAlign w:val="center"/>
          </w:tcPr>
          <w:p w14:paraId="77B08D5D" w14:textId="77777777" w:rsidR="00F92C74" w:rsidRPr="003760E2" w:rsidRDefault="00F92C74" w:rsidP="003760E2">
            <w:pPr>
              <w:ind w:left="113" w:right="113"/>
              <w:jc w:val="center"/>
              <w:rPr>
                <w:rFonts w:asciiTheme="majorBidi" w:hAnsiTheme="majorBidi" w:cstheme="majorBidi"/>
                <w:b/>
                <w:bCs/>
                <w:sz w:val="18"/>
                <w:szCs w:val="18"/>
                <w:lang w:val="fr-FR" w:bidi="ar-IQ"/>
              </w:rPr>
            </w:pPr>
            <w:proofErr w:type="spellStart"/>
            <w:r w:rsidRPr="003760E2">
              <w:rPr>
                <w:rFonts w:asciiTheme="majorBidi" w:hAnsiTheme="majorBidi" w:cstheme="majorBidi"/>
                <w:b/>
                <w:bCs/>
                <w:sz w:val="18"/>
                <w:szCs w:val="18"/>
                <w:lang w:val="fr-FR" w:bidi="ar-IQ"/>
              </w:rPr>
              <w:t>Neudesin</w:t>
            </w:r>
            <w:proofErr w:type="spellEnd"/>
            <w:r w:rsidRPr="003760E2">
              <w:rPr>
                <w:rFonts w:asciiTheme="majorBidi" w:hAnsiTheme="majorBidi" w:cstheme="majorBidi"/>
                <w:b/>
                <w:bCs/>
                <w:sz w:val="18"/>
                <w:szCs w:val="18"/>
                <w:lang w:val="fr-FR" w:bidi="ar-IQ"/>
              </w:rPr>
              <w:t xml:space="preserve">   </w:t>
            </w:r>
            <w:proofErr w:type="spellStart"/>
            <w:r w:rsidRPr="003760E2">
              <w:rPr>
                <w:rFonts w:asciiTheme="majorBidi" w:hAnsiTheme="majorBidi" w:cstheme="majorBidi"/>
                <w:b/>
                <w:bCs/>
                <w:sz w:val="18"/>
                <w:szCs w:val="18"/>
                <w:lang w:val="fr-FR" w:bidi="ar-IQ"/>
              </w:rPr>
              <w:t>ng</w:t>
            </w:r>
            <w:proofErr w:type="spellEnd"/>
            <w:r w:rsidRPr="003760E2">
              <w:rPr>
                <w:rFonts w:asciiTheme="majorBidi" w:hAnsiTheme="majorBidi" w:cstheme="majorBidi"/>
                <w:b/>
                <w:bCs/>
                <w:sz w:val="18"/>
                <w:szCs w:val="18"/>
                <w:lang w:val="fr-FR" w:bidi="ar-IQ"/>
              </w:rPr>
              <w:t>/</w:t>
            </w:r>
            <w:proofErr w:type="spellStart"/>
            <w:r w:rsidRPr="003760E2">
              <w:rPr>
                <w:rFonts w:asciiTheme="majorBidi" w:hAnsiTheme="majorBidi" w:cstheme="majorBidi"/>
                <w:b/>
                <w:bCs/>
                <w:sz w:val="18"/>
                <w:szCs w:val="18"/>
                <w:lang w:val="fr-FR" w:bidi="ar-IQ"/>
              </w:rPr>
              <w:t>mL</w:t>
            </w:r>
            <w:proofErr w:type="spellEnd"/>
          </w:p>
        </w:tc>
        <w:tc>
          <w:tcPr>
            <w:tcW w:w="361" w:type="dxa"/>
            <w:textDirection w:val="btLr"/>
            <w:vAlign w:val="center"/>
          </w:tcPr>
          <w:p w14:paraId="4B2C2D1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7.235</w:t>
            </w:r>
          </w:p>
        </w:tc>
        <w:tc>
          <w:tcPr>
            <w:tcW w:w="283" w:type="dxa"/>
            <w:textDirection w:val="btLr"/>
            <w:vAlign w:val="center"/>
          </w:tcPr>
          <w:p w14:paraId="78CB5C9E"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1.698</w:t>
            </w:r>
          </w:p>
        </w:tc>
        <w:tc>
          <w:tcPr>
            <w:tcW w:w="284" w:type="dxa"/>
            <w:textDirection w:val="btLr"/>
            <w:vAlign w:val="center"/>
          </w:tcPr>
          <w:p w14:paraId="2CAD043F"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5.666</w:t>
            </w:r>
          </w:p>
        </w:tc>
        <w:tc>
          <w:tcPr>
            <w:tcW w:w="283" w:type="dxa"/>
            <w:textDirection w:val="btLr"/>
            <w:vAlign w:val="center"/>
          </w:tcPr>
          <w:p w14:paraId="0488BFA1"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2.162</w:t>
            </w:r>
          </w:p>
        </w:tc>
        <w:tc>
          <w:tcPr>
            <w:tcW w:w="284" w:type="dxa"/>
            <w:textDirection w:val="btLr"/>
            <w:vAlign w:val="center"/>
          </w:tcPr>
          <w:p w14:paraId="0D2C35B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4.683</w:t>
            </w:r>
          </w:p>
        </w:tc>
        <w:tc>
          <w:tcPr>
            <w:tcW w:w="283" w:type="dxa"/>
            <w:textDirection w:val="btLr"/>
            <w:vAlign w:val="center"/>
          </w:tcPr>
          <w:p w14:paraId="74149599"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1.336</w:t>
            </w:r>
          </w:p>
        </w:tc>
        <w:tc>
          <w:tcPr>
            <w:tcW w:w="284" w:type="dxa"/>
            <w:textDirection w:val="btLr"/>
            <w:vAlign w:val="center"/>
          </w:tcPr>
          <w:p w14:paraId="54BC07A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785E8895" w14:textId="77777777" w:rsidTr="003760E2">
        <w:trPr>
          <w:cantSplit/>
          <w:trHeight w:val="828"/>
          <w:jc w:val="center"/>
        </w:trPr>
        <w:tc>
          <w:tcPr>
            <w:tcW w:w="723" w:type="dxa"/>
            <w:textDirection w:val="btLr"/>
            <w:vAlign w:val="center"/>
          </w:tcPr>
          <w:p w14:paraId="3D3C4214"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T3       </w:t>
            </w:r>
            <w:proofErr w:type="spellStart"/>
            <w:r w:rsidRPr="003760E2">
              <w:rPr>
                <w:rFonts w:asciiTheme="majorBidi" w:hAnsiTheme="majorBidi" w:cstheme="majorBidi"/>
                <w:b/>
                <w:bCs/>
                <w:color w:val="000000"/>
                <w:sz w:val="18"/>
                <w:szCs w:val="18"/>
              </w:rPr>
              <w:t>nmol</w:t>
            </w:r>
            <w:proofErr w:type="spellEnd"/>
            <w:r w:rsidRPr="003760E2">
              <w:rPr>
                <w:rFonts w:asciiTheme="majorBidi" w:hAnsiTheme="majorBidi" w:cstheme="majorBidi"/>
                <w:b/>
                <w:bCs/>
                <w:color w:val="000000"/>
                <w:sz w:val="18"/>
                <w:szCs w:val="18"/>
              </w:rPr>
              <w:t>/L</w:t>
            </w:r>
          </w:p>
        </w:tc>
        <w:tc>
          <w:tcPr>
            <w:tcW w:w="361" w:type="dxa"/>
            <w:textDirection w:val="btLr"/>
            <w:vAlign w:val="center"/>
          </w:tcPr>
          <w:p w14:paraId="4BBFCA43"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1.690</w:t>
            </w:r>
          </w:p>
        </w:tc>
        <w:tc>
          <w:tcPr>
            <w:tcW w:w="283" w:type="dxa"/>
            <w:textDirection w:val="btLr"/>
            <w:vAlign w:val="center"/>
          </w:tcPr>
          <w:p w14:paraId="17BF53BE"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0.296</w:t>
            </w:r>
          </w:p>
        </w:tc>
        <w:tc>
          <w:tcPr>
            <w:tcW w:w="284" w:type="dxa"/>
            <w:textDirection w:val="btLr"/>
            <w:vAlign w:val="center"/>
          </w:tcPr>
          <w:p w14:paraId="21FC6CF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1.175</w:t>
            </w:r>
          </w:p>
        </w:tc>
        <w:tc>
          <w:tcPr>
            <w:tcW w:w="283" w:type="dxa"/>
            <w:textDirection w:val="btLr"/>
            <w:vAlign w:val="center"/>
          </w:tcPr>
          <w:p w14:paraId="6BED7B33"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0.369</w:t>
            </w:r>
          </w:p>
        </w:tc>
        <w:tc>
          <w:tcPr>
            <w:tcW w:w="284" w:type="dxa"/>
            <w:textDirection w:val="btLr"/>
            <w:vAlign w:val="center"/>
          </w:tcPr>
          <w:p w14:paraId="109C3F34"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3.671</w:t>
            </w:r>
          </w:p>
        </w:tc>
        <w:tc>
          <w:tcPr>
            <w:tcW w:w="283" w:type="dxa"/>
            <w:textDirection w:val="btLr"/>
            <w:vAlign w:val="center"/>
          </w:tcPr>
          <w:p w14:paraId="5531621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1.048</w:t>
            </w:r>
          </w:p>
        </w:tc>
        <w:tc>
          <w:tcPr>
            <w:tcW w:w="284" w:type="dxa"/>
            <w:textDirection w:val="btLr"/>
            <w:vAlign w:val="center"/>
          </w:tcPr>
          <w:p w14:paraId="628DE386"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52B18CC5" w14:textId="77777777" w:rsidTr="003760E2">
        <w:trPr>
          <w:cantSplit/>
          <w:trHeight w:val="698"/>
          <w:jc w:val="center"/>
        </w:trPr>
        <w:tc>
          <w:tcPr>
            <w:tcW w:w="723" w:type="dxa"/>
            <w:textDirection w:val="btLr"/>
            <w:vAlign w:val="center"/>
          </w:tcPr>
          <w:p w14:paraId="5DAAB476"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lastRenderedPageBreak/>
              <w:t xml:space="preserve">T4      </w:t>
            </w:r>
            <w:proofErr w:type="spellStart"/>
            <w:r w:rsidRPr="003760E2">
              <w:rPr>
                <w:rFonts w:asciiTheme="majorBidi" w:hAnsiTheme="majorBidi" w:cstheme="majorBidi"/>
                <w:b/>
                <w:bCs/>
                <w:color w:val="000000"/>
                <w:sz w:val="18"/>
                <w:szCs w:val="18"/>
              </w:rPr>
              <w:t>nmol</w:t>
            </w:r>
            <w:proofErr w:type="spellEnd"/>
            <w:r w:rsidRPr="003760E2">
              <w:rPr>
                <w:rFonts w:asciiTheme="majorBidi" w:hAnsiTheme="majorBidi" w:cstheme="majorBidi"/>
                <w:b/>
                <w:bCs/>
                <w:color w:val="000000"/>
                <w:sz w:val="18"/>
                <w:szCs w:val="18"/>
              </w:rPr>
              <w:t>/L</w:t>
            </w:r>
          </w:p>
        </w:tc>
        <w:tc>
          <w:tcPr>
            <w:tcW w:w="361" w:type="dxa"/>
            <w:textDirection w:val="btLr"/>
            <w:vAlign w:val="center"/>
          </w:tcPr>
          <w:p w14:paraId="78DA084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93.71</w:t>
            </w:r>
          </w:p>
        </w:tc>
        <w:tc>
          <w:tcPr>
            <w:tcW w:w="283" w:type="dxa"/>
            <w:textDirection w:val="btLr"/>
            <w:vAlign w:val="center"/>
          </w:tcPr>
          <w:p w14:paraId="5F7C7DD5"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4.129</w:t>
            </w:r>
          </w:p>
        </w:tc>
        <w:tc>
          <w:tcPr>
            <w:tcW w:w="284" w:type="dxa"/>
            <w:textDirection w:val="btLr"/>
            <w:vAlign w:val="center"/>
          </w:tcPr>
          <w:p w14:paraId="45F43FE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68.81</w:t>
            </w:r>
          </w:p>
        </w:tc>
        <w:tc>
          <w:tcPr>
            <w:tcW w:w="283" w:type="dxa"/>
            <w:textDirection w:val="btLr"/>
            <w:vAlign w:val="center"/>
          </w:tcPr>
          <w:p w14:paraId="46444D7F"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15.72</w:t>
            </w:r>
          </w:p>
        </w:tc>
        <w:tc>
          <w:tcPr>
            <w:tcW w:w="284" w:type="dxa"/>
            <w:textDirection w:val="btLr"/>
            <w:vAlign w:val="center"/>
          </w:tcPr>
          <w:p w14:paraId="455DCD0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175.4</w:t>
            </w:r>
          </w:p>
        </w:tc>
        <w:tc>
          <w:tcPr>
            <w:tcW w:w="283" w:type="dxa"/>
            <w:textDirection w:val="btLr"/>
            <w:vAlign w:val="center"/>
          </w:tcPr>
          <w:p w14:paraId="3A8FD28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29.54</w:t>
            </w:r>
          </w:p>
        </w:tc>
        <w:tc>
          <w:tcPr>
            <w:tcW w:w="284" w:type="dxa"/>
            <w:textDirection w:val="btLr"/>
            <w:vAlign w:val="center"/>
          </w:tcPr>
          <w:p w14:paraId="3A8D1D80"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4ABB2202" w14:textId="77777777" w:rsidTr="003760E2">
        <w:trPr>
          <w:cantSplit/>
          <w:trHeight w:val="978"/>
          <w:jc w:val="center"/>
        </w:trPr>
        <w:tc>
          <w:tcPr>
            <w:tcW w:w="723" w:type="dxa"/>
            <w:textDirection w:val="btLr"/>
            <w:vAlign w:val="center"/>
          </w:tcPr>
          <w:p w14:paraId="0072302C" w14:textId="402FFA4A"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TSH      </w:t>
            </w:r>
            <w:proofErr w:type="spellStart"/>
            <w:r w:rsidRPr="003760E2">
              <w:rPr>
                <w:rFonts w:asciiTheme="majorBidi" w:hAnsiTheme="majorBidi" w:cstheme="majorBidi"/>
                <w:b/>
                <w:bCs/>
                <w:color w:val="000000"/>
                <w:sz w:val="18"/>
                <w:szCs w:val="18"/>
              </w:rPr>
              <w:t>mIU</w:t>
            </w:r>
            <w:proofErr w:type="spellEnd"/>
            <w:r w:rsidRPr="003760E2">
              <w:rPr>
                <w:rFonts w:asciiTheme="majorBidi" w:hAnsiTheme="majorBidi" w:cstheme="majorBidi"/>
                <w:b/>
                <w:bCs/>
                <w:color w:val="000000"/>
                <w:sz w:val="18"/>
                <w:szCs w:val="18"/>
              </w:rPr>
              <w:t>/mL</w:t>
            </w:r>
          </w:p>
        </w:tc>
        <w:tc>
          <w:tcPr>
            <w:tcW w:w="361" w:type="dxa"/>
            <w:textDirection w:val="btLr"/>
            <w:vAlign w:val="center"/>
          </w:tcPr>
          <w:p w14:paraId="37AEA9D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1.912</w:t>
            </w:r>
          </w:p>
        </w:tc>
        <w:tc>
          <w:tcPr>
            <w:tcW w:w="283" w:type="dxa"/>
            <w:textDirection w:val="btLr"/>
            <w:vAlign w:val="center"/>
          </w:tcPr>
          <w:p w14:paraId="42B6EDEF"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0.629</w:t>
            </w:r>
          </w:p>
        </w:tc>
        <w:tc>
          <w:tcPr>
            <w:tcW w:w="284" w:type="dxa"/>
            <w:textDirection w:val="btLr"/>
            <w:vAlign w:val="center"/>
          </w:tcPr>
          <w:p w14:paraId="7ED2B1A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5.205</w:t>
            </w:r>
          </w:p>
        </w:tc>
        <w:tc>
          <w:tcPr>
            <w:tcW w:w="283" w:type="dxa"/>
            <w:textDirection w:val="btLr"/>
            <w:vAlign w:val="center"/>
          </w:tcPr>
          <w:p w14:paraId="73F7417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1.699</w:t>
            </w:r>
          </w:p>
        </w:tc>
        <w:tc>
          <w:tcPr>
            <w:tcW w:w="284" w:type="dxa"/>
            <w:textDirection w:val="btLr"/>
            <w:vAlign w:val="center"/>
          </w:tcPr>
          <w:p w14:paraId="6F9769B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1.384</w:t>
            </w:r>
          </w:p>
        </w:tc>
        <w:tc>
          <w:tcPr>
            <w:tcW w:w="283" w:type="dxa"/>
            <w:textDirection w:val="btLr"/>
            <w:vAlign w:val="center"/>
          </w:tcPr>
          <w:p w14:paraId="1EC06D13"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0.465</w:t>
            </w:r>
          </w:p>
        </w:tc>
        <w:tc>
          <w:tcPr>
            <w:tcW w:w="284" w:type="dxa"/>
            <w:textDirection w:val="btLr"/>
            <w:vAlign w:val="center"/>
          </w:tcPr>
          <w:p w14:paraId="57253DA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063BA8D1" w14:textId="77777777" w:rsidTr="003760E2">
        <w:trPr>
          <w:cantSplit/>
          <w:trHeight w:val="849"/>
          <w:jc w:val="center"/>
        </w:trPr>
        <w:tc>
          <w:tcPr>
            <w:tcW w:w="723" w:type="dxa"/>
            <w:textDirection w:val="btLr"/>
            <w:vAlign w:val="center"/>
          </w:tcPr>
          <w:p w14:paraId="0814879D"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 Cho.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361" w:type="dxa"/>
            <w:textDirection w:val="btLr"/>
            <w:vAlign w:val="center"/>
          </w:tcPr>
          <w:p w14:paraId="16A3403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145.6</w:t>
            </w:r>
          </w:p>
        </w:tc>
        <w:tc>
          <w:tcPr>
            <w:tcW w:w="283" w:type="dxa"/>
            <w:textDirection w:val="btLr"/>
            <w:vAlign w:val="center"/>
          </w:tcPr>
          <w:p w14:paraId="0FE26D7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16.88</w:t>
            </w:r>
          </w:p>
        </w:tc>
        <w:tc>
          <w:tcPr>
            <w:tcW w:w="284" w:type="dxa"/>
            <w:textDirection w:val="btLr"/>
            <w:vAlign w:val="center"/>
          </w:tcPr>
          <w:p w14:paraId="7C8D797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182.0</w:t>
            </w:r>
          </w:p>
        </w:tc>
        <w:tc>
          <w:tcPr>
            <w:tcW w:w="283" w:type="dxa"/>
            <w:textDirection w:val="btLr"/>
            <w:vAlign w:val="center"/>
          </w:tcPr>
          <w:p w14:paraId="5A7AB0C3"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22.60</w:t>
            </w:r>
          </w:p>
        </w:tc>
        <w:tc>
          <w:tcPr>
            <w:tcW w:w="284" w:type="dxa"/>
            <w:textDirection w:val="btLr"/>
            <w:vAlign w:val="center"/>
          </w:tcPr>
          <w:p w14:paraId="2FDC0886"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160.0</w:t>
            </w:r>
          </w:p>
        </w:tc>
        <w:tc>
          <w:tcPr>
            <w:tcW w:w="283" w:type="dxa"/>
            <w:textDirection w:val="btLr"/>
            <w:vAlign w:val="center"/>
          </w:tcPr>
          <w:p w14:paraId="273FD4C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23.07</w:t>
            </w:r>
          </w:p>
        </w:tc>
        <w:tc>
          <w:tcPr>
            <w:tcW w:w="284" w:type="dxa"/>
            <w:textDirection w:val="btLr"/>
            <w:vAlign w:val="center"/>
          </w:tcPr>
          <w:p w14:paraId="56D360F6"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39CD3526" w14:textId="77777777" w:rsidTr="003760E2">
        <w:trPr>
          <w:cantSplit/>
          <w:trHeight w:val="823"/>
          <w:jc w:val="center"/>
        </w:trPr>
        <w:tc>
          <w:tcPr>
            <w:tcW w:w="723" w:type="dxa"/>
            <w:textDirection w:val="btLr"/>
            <w:vAlign w:val="center"/>
          </w:tcPr>
          <w:p w14:paraId="39C81F89"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TGs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361" w:type="dxa"/>
            <w:textDirection w:val="btLr"/>
            <w:vAlign w:val="center"/>
          </w:tcPr>
          <w:p w14:paraId="4D6E9ACB"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132.2</w:t>
            </w:r>
          </w:p>
        </w:tc>
        <w:tc>
          <w:tcPr>
            <w:tcW w:w="283" w:type="dxa"/>
            <w:textDirection w:val="btLr"/>
            <w:vAlign w:val="center"/>
          </w:tcPr>
          <w:p w14:paraId="2735374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15.07</w:t>
            </w:r>
          </w:p>
        </w:tc>
        <w:tc>
          <w:tcPr>
            <w:tcW w:w="284" w:type="dxa"/>
            <w:textDirection w:val="btLr"/>
            <w:vAlign w:val="center"/>
          </w:tcPr>
          <w:p w14:paraId="3F96C7AF"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176.1</w:t>
            </w:r>
          </w:p>
        </w:tc>
        <w:tc>
          <w:tcPr>
            <w:tcW w:w="283" w:type="dxa"/>
            <w:textDirection w:val="btLr"/>
            <w:vAlign w:val="center"/>
          </w:tcPr>
          <w:p w14:paraId="16774816"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28.33</w:t>
            </w:r>
          </w:p>
        </w:tc>
        <w:tc>
          <w:tcPr>
            <w:tcW w:w="284" w:type="dxa"/>
            <w:textDirection w:val="btLr"/>
            <w:vAlign w:val="center"/>
          </w:tcPr>
          <w:p w14:paraId="791540B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121.6</w:t>
            </w:r>
          </w:p>
        </w:tc>
        <w:tc>
          <w:tcPr>
            <w:tcW w:w="283" w:type="dxa"/>
            <w:textDirection w:val="btLr"/>
            <w:vAlign w:val="center"/>
          </w:tcPr>
          <w:p w14:paraId="3F60ACAF"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19.70</w:t>
            </w:r>
          </w:p>
        </w:tc>
        <w:tc>
          <w:tcPr>
            <w:tcW w:w="284" w:type="dxa"/>
            <w:textDirection w:val="btLr"/>
            <w:vAlign w:val="center"/>
          </w:tcPr>
          <w:p w14:paraId="7ACD8751"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6E17DA30" w14:textId="77777777" w:rsidTr="003760E2">
        <w:trPr>
          <w:cantSplit/>
          <w:trHeight w:val="845"/>
          <w:jc w:val="center"/>
        </w:trPr>
        <w:tc>
          <w:tcPr>
            <w:tcW w:w="723" w:type="dxa"/>
            <w:textDirection w:val="btLr"/>
            <w:vAlign w:val="center"/>
          </w:tcPr>
          <w:p w14:paraId="107CBD10"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HDL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361" w:type="dxa"/>
            <w:textDirection w:val="btLr"/>
            <w:vAlign w:val="center"/>
          </w:tcPr>
          <w:p w14:paraId="1C6DC284"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44.46</w:t>
            </w:r>
          </w:p>
        </w:tc>
        <w:tc>
          <w:tcPr>
            <w:tcW w:w="283" w:type="dxa"/>
            <w:textDirection w:val="btLr"/>
            <w:vAlign w:val="center"/>
          </w:tcPr>
          <w:p w14:paraId="39CC022B"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3.666</w:t>
            </w:r>
          </w:p>
        </w:tc>
        <w:tc>
          <w:tcPr>
            <w:tcW w:w="284" w:type="dxa"/>
            <w:textDirection w:val="btLr"/>
            <w:vAlign w:val="center"/>
          </w:tcPr>
          <w:p w14:paraId="627BF8A5"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41.96</w:t>
            </w:r>
          </w:p>
        </w:tc>
        <w:tc>
          <w:tcPr>
            <w:tcW w:w="283" w:type="dxa"/>
            <w:textDirection w:val="btLr"/>
            <w:vAlign w:val="center"/>
          </w:tcPr>
          <w:p w14:paraId="48FEC7A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4.359</w:t>
            </w:r>
          </w:p>
        </w:tc>
        <w:tc>
          <w:tcPr>
            <w:tcW w:w="284" w:type="dxa"/>
            <w:textDirection w:val="btLr"/>
            <w:vAlign w:val="center"/>
          </w:tcPr>
          <w:p w14:paraId="713E393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43.39</w:t>
            </w:r>
          </w:p>
        </w:tc>
        <w:tc>
          <w:tcPr>
            <w:tcW w:w="283" w:type="dxa"/>
            <w:textDirection w:val="btLr"/>
            <w:vAlign w:val="center"/>
          </w:tcPr>
          <w:p w14:paraId="7B25F43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4.166</w:t>
            </w:r>
          </w:p>
        </w:tc>
        <w:tc>
          <w:tcPr>
            <w:tcW w:w="284" w:type="dxa"/>
            <w:textDirection w:val="btLr"/>
            <w:vAlign w:val="center"/>
          </w:tcPr>
          <w:p w14:paraId="7A17620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0.0765</w:t>
            </w:r>
          </w:p>
        </w:tc>
      </w:tr>
      <w:tr w:rsidR="00F92C74" w:rsidRPr="003760E2" w14:paraId="511830CA" w14:textId="77777777" w:rsidTr="003760E2">
        <w:trPr>
          <w:cantSplit/>
          <w:trHeight w:val="844"/>
          <w:jc w:val="center"/>
        </w:trPr>
        <w:tc>
          <w:tcPr>
            <w:tcW w:w="723" w:type="dxa"/>
            <w:textDirection w:val="btLr"/>
            <w:vAlign w:val="center"/>
          </w:tcPr>
          <w:p w14:paraId="241A6032"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LDL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361" w:type="dxa"/>
            <w:textDirection w:val="btLr"/>
            <w:vAlign w:val="center"/>
          </w:tcPr>
          <w:p w14:paraId="22E9224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74.56</w:t>
            </w:r>
          </w:p>
        </w:tc>
        <w:tc>
          <w:tcPr>
            <w:tcW w:w="283" w:type="dxa"/>
            <w:textDirection w:val="btLr"/>
            <w:vAlign w:val="center"/>
          </w:tcPr>
          <w:p w14:paraId="64D4B58A"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16.36</w:t>
            </w:r>
          </w:p>
        </w:tc>
        <w:tc>
          <w:tcPr>
            <w:tcW w:w="284" w:type="dxa"/>
            <w:textDirection w:val="btLr"/>
            <w:vAlign w:val="center"/>
          </w:tcPr>
          <w:p w14:paraId="4F454E5E"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106.1</w:t>
            </w:r>
          </w:p>
        </w:tc>
        <w:tc>
          <w:tcPr>
            <w:tcW w:w="283" w:type="dxa"/>
            <w:textDirection w:val="btLr"/>
            <w:vAlign w:val="center"/>
          </w:tcPr>
          <w:p w14:paraId="30DC40D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26.71</w:t>
            </w:r>
          </w:p>
        </w:tc>
        <w:tc>
          <w:tcPr>
            <w:tcW w:w="284" w:type="dxa"/>
            <w:textDirection w:val="btLr"/>
            <w:vAlign w:val="center"/>
          </w:tcPr>
          <w:p w14:paraId="0CAF7582"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92.25</w:t>
            </w:r>
          </w:p>
        </w:tc>
        <w:tc>
          <w:tcPr>
            <w:tcW w:w="283" w:type="dxa"/>
            <w:textDirection w:val="btLr"/>
            <w:vAlign w:val="center"/>
          </w:tcPr>
          <w:p w14:paraId="423BBF10"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19.76</w:t>
            </w:r>
          </w:p>
        </w:tc>
        <w:tc>
          <w:tcPr>
            <w:tcW w:w="284" w:type="dxa"/>
            <w:textDirection w:val="btLr"/>
            <w:vAlign w:val="center"/>
          </w:tcPr>
          <w:p w14:paraId="091DA38E"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F92C74" w:rsidRPr="003760E2" w14:paraId="05BFB269" w14:textId="77777777" w:rsidTr="003760E2">
        <w:trPr>
          <w:cantSplit/>
          <w:trHeight w:val="827"/>
          <w:jc w:val="center"/>
        </w:trPr>
        <w:tc>
          <w:tcPr>
            <w:tcW w:w="723" w:type="dxa"/>
            <w:textDirection w:val="btLr"/>
            <w:vAlign w:val="center"/>
          </w:tcPr>
          <w:p w14:paraId="281483AF" w14:textId="77777777" w:rsidR="00F92C74" w:rsidRPr="003760E2" w:rsidRDefault="00F92C74"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VLDL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361" w:type="dxa"/>
            <w:textDirection w:val="btLr"/>
            <w:vAlign w:val="center"/>
          </w:tcPr>
          <w:p w14:paraId="360CA34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26.44</w:t>
            </w:r>
          </w:p>
        </w:tc>
        <w:tc>
          <w:tcPr>
            <w:tcW w:w="283" w:type="dxa"/>
            <w:textDirection w:val="btLr"/>
            <w:vAlign w:val="center"/>
          </w:tcPr>
          <w:p w14:paraId="1DE16278"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3.013</w:t>
            </w:r>
          </w:p>
        </w:tc>
        <w:tc>
          <w:tcPr>
            <w:tcW w:w="284" w:type="dxa"/>
            <w:textDirection w:val="btLr"/>
            <w:vAlign w:val="center"/>
          </w:tcPr>
          <w:p w14:paraId="6A8B507C"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35.24</w:t>
            </w:r>
          </w:p>
        </w:tc>
        <w:tc>
          <w:tcPr>
            <w:tcW w:w="283" w:type="dxa"/>
            <w:textDirection w:val="btLr"/>
            <w:vAlign w:val="center"/>
          </w:tcPr>
          <w:p w14:paraId="7D9B9C6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5.773</w:t>
            </w:r>
          </w:p>
        </w:tc>
        <w:tc>
          <w:tcPr>
            <w:tcW w:w="284" w:type="dxa"/>
            <w:textDirection w:val="btLr"/>
            <w:vAlign w:val="center"/>
          </w:tcPr>
          <w:p w14:paraId="55CC292E"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24.32</w:t>
            </w:r>
          </w:p>
        </w:tc>
        <w:tc>
          <w:tcPr>
            <w:tcW w:w="283" w:type="dxa"/>
            <w:textDirection w:val="btLr"/>
            <w:vAlign w:val="center"/>
          </w:tcPr>
          <w:p w14:paraId="1454BD07"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3.940</w:t>
            </w:r>
          </w:p>
        </w:tc>
        <w:tc>
          <w:tcPr>
            <w:tcW w:w="284" w:type="dxa"/>
            <w:textDirection w:val="btLr"/>
            <w:vAlign w:val="center"/>
          </w:tcPr>
          <w:p w14:paraId="11E47DED" w14:textId="77777777" w:rsidR="00F92C74" w:rsidRPr="003760E2" w:rsidRDefault="00F92C74"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bl>
    <w:p w14:paraId="563A0C18" w14:textId="77777777" w:rsidR="00DC0CC2" w:rsidRDefault="00DC0CC2" w:rsidP="00DC0CC2">
      <w:pPr>
        <w:spacing w:line="276" w:lineRule="auto"/>
        <w:ind w:firstLine="567"/>
        <w:jc w:val="both"/>
        <w:rPr>
          <w:rFonts w:asciiTheme="majorBidi" w:hAnsiTheme="majorBidi" w:cstheme="majorBidi"/>
          <w:lang w:bidi="ar-IQ"/>
        </w:rPr>
      </w:pPr>
    </w:p>
    <w:p w14:paraId="4F8F0034" w14:textId="77777777" w:rsidR="00AB6BAC" w:rsidRPr="00DC0CC2" w:rsidRDefault="00AB6BAC" w:rsidP="00DC0CC2">
      <w:pPr>
        <w:widowControl w:val="0"/>
        <w:autoSpaceDE w:val="0"/>
        <w:autoSpaceDN w:val="0"/>
        <w:adjustRightInd w:val="0"/>
        <w:spacing w:before="100" w:after="100" w:line="276" w:lineRule="auto"/>
        <w:ind w:firstLine="567"/>
        <w:jc w:val="both"/>
        <w:rPr>
          <w:rFonts w:asciiTheme="majorBidi" w:hAnsiTheme="majorBidi" w:cstheme="majorBidi"/>
          <w:b/>
          <w:bCs/>
          <w:lang w:bidi="ar-IQ"/>
        </w:rPr>
      </w:pPr>
      <w:r w:rsidRPr="00DC0CC2">
        <w:rPr>
          <w:rFonts w:asciiTheme="majorBidi" w:hAnsiTheme="majorBidi" w:cstheme="majorBidi"/>
          <w:lang w:bidi="ar-IQ"/>
        </w:rPr>
        <w:t xml:space="preserve">Important negative correlation was detected between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with TSH (r=-0.229, p=0.090), there was also a bad link between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and TGs (r=-0.248, </w:t>
      </w:r>
      <w:r w:rsidRPr="00DC0CC2">
        <w:rPr>
          <w:rFonts w:asciiTheme="majorBidi" w:hAnsiTheme="majorBidi" w:cstheme="majorBidi"/>
          <w:i/>
          <w:iCs/>
          <w:lang w:bidi="ar-IQ"/>
        </w:rPr>
        <w:t>p</w:t>
      </w:r>
      <w:r w:rsidRPr="00DC0CC2">
        <w:rPr>
          <w:rFonts w:asciiTheme="majorBidi" w:hAnsiTheme="majorBidi" w:cstheme="majorBidi"/>
          <w:lang w:bidi="ar-IQ"/>
        </w:rPr>
        <w:t xml:space="preserve">=0.065), HDL (r=-0.026, </w:t>
      </w:r>
      <w:r w:rsidRPr="00DC0CC2">
        <w:rPr>
          <w:rFonts w:asciiTheme="majorBidi" w:hAnsiTheme="majorBidi" w:cstheme="majorBidi"/>
          <w:i/>
          <w:iCs/>
          <w:lang w:bidi="ar-IQ"/>
        </w:rPr>
        <w:t>p</w:t>
      </w:r>
      <w:r w:rsidRPr="00DC0CC2">
        <w:rPr>
          <w:rFonts w:asciiTheme="majorBidi" w:hAnsiTheme="majorBidi" w:cstheme="majorBidi"/>
          <w:lang w:bidi="ar-IQ"/>
        </w:rPr>
        <w:t xml:space="preserve">=0.840) and VLDL (r=-0.239, p=0.079) in hypothyroidism patients, while </w:t>
      </w:r>
      <w:r w:rsidRPr="00DC0CC2">
        <w:rPr>
          <w:rFonts w:asciiTheme="majorBidi" w:eastAsiaTheme="minorHAnsi" w:hAnsiTheme="majorBidi" w:cstheme="majorBidi"/>
          <w:kern w:val="2"/>
          <w:lang w:bidi="ar-IQ"/>
          <w14:ligatures w14:val="standardContextual"/>
        </w:rPr>
        <w:t>showed</w:t>
      </w:r>
      <w:r w:rsidRPr="00DC0CC2">
        <w:rPr>
          <w:rFonts w:asciiTheme="majorBidi" w:hAnsiTheme="majorBidi" w:cstheme="majorBidi"/>
          <w:lang w:bidi="ar-IQ"/>
        </w:rPr>
        <w:t xml:space="preserve"> were positive relationship between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with T3 (r=0.321, </w:t>
      </w:r>
      <w:r w:rsidRPr="00DC0CC2">
        <w:rPr>
          <w:rFonts w:asciiTheme="majorBidi" w:hAnsiTheme="majorBidi" w:cstheme="majorBidi"/>
          <w:i/>
          <w:iCs/>
          <w:lang w:bidi="ar-IQ"/>
        </w:rPr>
        <w:t>p</w:t>
      </w:r>
      <w:r w:rsidRPr="00DC0CC2">
        <w:rPr>
          <w:rFonts w:asciiTheme="majorBidi" w:hAnsiTheme="majorBidi" w:cstheme="majorBidi"/>
          <w:lang w:bidi="ar-IQ"/>
        </w:rPr>
        <w:t xml:space="preserve">=0.016), T4 (r=0.4171, p=0.001), T. Cho. (r=0.016, p=0.909) and LDL (r=0.052, p=0.706) in hypothyroidism patients, were shown as in </w:t>
      </w:r>
      <w:r w:rsidRPr="00DC0CC2">
        <w:rPr>
          <w:rFonts w:asciiTheme="majorBidi" w:hAnsiTheme="majorBidi" w:cstheme="majorBidi"/>
          <w:b/>
          <w:bCs/>
          <w:lang w:bidi="ar-IQ"/>
        </w:rPr>
        <w:t>table 2.</w:t>
      </w:r>
      <w:r w:rsidRPr="00DC0CC2">
        <w:rPr>
          <w:rFonts w:asciiTheme="majorBidi" w:hAnsiTheme="majorBidi" w:cstheme="majorBidi"/>
          <w:lang w:bidi="ar-IQ"/>
        </w:rPr>
        <w:t xml:space="preserve">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was shown to have a significant inverse connection with T3 in the current investigation (r=-0.621, p&lt;0.0001) and T4(r=-0.566, p</w:t>
      </w:r>
      <w:r w:rsidRPr="00DC0CC2">
        <w:rPr>
          <w:rFonts w:asciiTheme="majorBidi" w:hAnsiTheme="majorBidi" w:cstheme="majorBidi" w:hint="cs"/>
          <w:rtl/>
          <w:lang w:bidi="ar-IQ"/>
        </w:rPr>
        <w:t>&gt;</w:t>
      </w:r>
      <w:r w:rsidRPr="00DC0CC2">
        <w:rPr>
          <w:rFonts w:asciiTheme="majorBidi" w:hAnsiTheme="majorBidi" w:cstheme="majorBidi"/>
          <w:lang w:bidi="ar-IQ"/>
        </w:rPr>
        <w:t xml:space="preserve">0.0001) in hyperthyroidism patients, also, there is a bad link between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and </w:t>
      </w:r>
      <w:proofErr w:type="spellStart"/>
      <w:r w:rsidRPr="00DC0CC2">
        <w:rPr>
          <w:rFonts w:asciiTheme="majorBidi" w:hAnsiTheme="majorBidi" w:cstheme="majorBidi"/>
          <w:lang w:bidi="ar-IQ"/>
        </w:rPr>
        <w:t>T.Cho</w:t>
      </w:r>
      <w:proofErr w:type="spellEnd"/>
      <w:r w:rsidRPr="00DC0CC2">
        <w:rPr>
          <w:rFonts w:asciiTheme="majorBidi" w:hAnsiTheme="majorBidi" w:cstheme="majorBidi"/>
          <w:lang w:bidi="ar-IQ"/>
        </w:rPr>
        <w:t xml:space="preserve">. (r=-0.327, p=0.014), HDL (r=-0.075, p=0.583) and LDL (r=-0.368, p=0.005), while were detected positive relationship between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with TSH (r=0.252, p=0.060), TGs (r=0.195, p=0.149) and VLDL (r=0.195, r=0.149) in hyperthyroidism patients, were shown as in </w:t>
      </w:r>
      <w:r w:rsidRPr="00DC0CC2">
        <w:rPr>
          <w:rFonts w:asciiTheme="majorBidi" w:hAnsiTheme="majorBidi" w:cstheme="majorBidi"/>
          <w:b/>
          <w:bCs/>
          <w:lang w:bidi="ar-IQ"/>
        </w:rPr>
        <w:t>table 3.</w:t>
      </w:r>
    </w:p>
    <w:p w14:paraId="532D8D0E" w14:textId="77777777" w:rsidR="00AB6BAC" w:rsidRPr="00AB6BAC" w:rsidRDefault="00AB6BAC" w:rsidP="00DC0CC2">
      <w:pPr>
        <w:jc w:val="center"/>
        <w:rPr>
          <w:rFonts w:ascii="Times New Roman" w:eastAsia="Times New Roman" w:hAnsi="Times New Roman" w:cs="Times New Roman"/>
          <w:sz w:val="20"/>
          <w:szCs w:val="20"/>
        </w:rPr>
      </w:pPr>
      <w:r w:rsidRPr="00AB6BAC">
        <w:rPr>
          <w:rFonts w:ascii="Times New Roman" w:eastAsia="Times New Roman" w:hAnsi="Times New Roman" w:cs="Times New Roman"/>
          <w:sz w:val="20"/>
          <w:szCs w:val="20"/>
        </w:rPr>
        <w:t xml:space="preserve">Table 2: Association of </w:t>
      </w:r>
      <w:proofErr w:type="spellStart"/>
      <w:r w:rsidRPr="00AB6BAC">
        <w:rPr>
          <w:rFonts w:ascii="Times New Roman" w:eastAsia="Times New Roman" w:hAnsi="Times New Roman" w:cs="Times New Roman"/>
          <w:sz w:val="20"/>
          <w:szCs w:val="20"/>
        </w:rPr>
        <w:t>Neudesin</w:t>
      </w:r>
      <w:proofErr w:type="spellEnd"/>
      <w:r w:rsidRPr="00AB6BAC">
        <w:rPr>
          <w:rFonts w:ascii="Times New Roman" w:eastAsia="Times New Roman" w:hAnsi="Times New Roman" w:cs="Times New Roman"/>
          <w:sz w:val="20"/>
          <w:szCs w:val="20"/>
        </w:rPr>
        <w:t xml:space="preserve"> with Studied Parameters in Hypothyroidism</w:t>
      </w:r>
    </w:p>
    <w:tbl>
      <w:tblPr>
        <w:tblStyle w:val="TableGrid10"/>
        <w:tblW w:w="3822" w:type="dxa"/>
        <w:jc w:val="center"/>
        <w:tblLook w:val="04A0" w:firstRow="1" w:lastRow="0" w:firstColumn="1" w:lastColumn="0" w:noHBand="0" w:noVBand="1"/>
      </w:tblPr>
      <w:tblGrid>
        <w:gridCol w:w="1760"/>
        <w:gridCol w:w="1070"/>
        <w:gridCol w:w="992"/>
      </w:tblGrid>
      <w:tr w:rsidR="00AB6BAC" w:rsidRPr="003760E2" w14:paraId="09F84907" w14:textId="77777777" w:rsidTr="003760E2">
        <w:trPr>
          <w:trHeight w:val="304"/>
          <w:jc w:val="center"/>
        </w:trPr>
        <w:tc>
          <w:tcPr>
            <w:tcW w:w="1760" w:type="dxa"/>
            <w:noWrap/>
            <w:vAlign w:val="center"/>
            <w:hideMark/>
          </w:tcPr>
          <w:p w14:paraId="6D8915AA"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Parameter</w:t>
            </w:r>
          </w:p>
          <w:p w14:paraId="3F1105C1"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Hyperthyroidism</w:t>
            </w:r>
          </w:p>
        </w:tc>
        <w:tc>
          <w:tcPr>
            <w:tcW w:w="1070" w:type="dxa"/>
            <w:noWrap/>
            <w:vAlign w:val="center"/>
            <w:hideMark/>
          </w:tcPr>
          <w:p w14:paraId="0B16A5A4"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r (</w:t>
            </w:r>
            <w:proofErr w:type="spellStart"/>
            <w:r w:rsidRPr="003760E2">
              <w:rPr>
                <w:rFonts w:ascii="Times New Roman" w:hAnsi="Times New Roman" w:cs="Times New Roman"/>
                <w:b/>
                <w:bCs/>
                <w:sz w:val="18"/>
                <w:szCs w:val="18"/>
                <w:lang w:bidi="ar-IQ"/>
              </w:rPr>
              <w:t>Neudesin</w:t>
            </w:r>
            <w:proofErr w:type="spellEnd"/>
            <w:r w:rsidRPr="003760E2">
              <w:rPr>
                <w:rFonts w:ascii="Times New Roman" w:hAnsi="Times New Roman" w:cs="Times New Roman"/>
                <w:b/>
                <w:bCs/>
                <w:sz w:val="18"/>
                <w:szCs w:val="18"/>
                <w:lang w:bidi="ar-IQ"/>
              </w:rPr>
              <w:t xml:space="preserve"> </w:t>
            </w:r>
            <w:proofErr w:type="spellStart"/>
            <w:r w:rsidRPr="003760E2">
              <w:rPr>
                <w:rFonts w:ascii="Times New Roman" w:hAnsi="Times New Roman" w:cs="Times New Roman"/>
                <w:b/>
                <w:bCs/>
                <w:sz w:val="18"/>
                <w:szCs w:val="18"/>
                <w:lang w:bidi="ar-IQ"/>
              </w:rPr>
              <w:t>ng</w:t>
            </w:r>
            <w:proofErr w:type="spellEnd"/>
            <w:r w:rsidRPr="003760E2">
              <w:rPr>
                <w:rFonts w:ascii="Times New Roman" w:hAnsi="Times New Roman" w:cs="Times New Roman"/>
                <w:b/>
                <w:bCs/>
                <w:sz w:val="18"/>
                <w:szCs w:val="18"/>
                <w:lang w:bidi="ar-IQ"/>
              </w:rPr>
              <w:t>/mL</w:t>
            </w:r>
            <w:r w:rsidRPr="003760E2">
              <w:rPr>
                <w:rFonts w:ascii="Times New Roman" w:hAnsi="Times New Roman" w:cs="Times New Roman"/>
                <w:b/>
                <w:bCs/>
                <w:sz w:val="18"/>
                <w:szCs w:val="18"/>
              </w:rPr>
              <w:t>)</w:t>
            </w:r>
          </w:p>
        </w:tc>
        <w:tc>
          <w:tcPr>
            <w:tcW w:w="992" w:type="dxa"/>
            <w:vAlign w:val="center"/>
          </w:tcPr>
          <w:p w14:paraId="7EDD46F6"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p-value</w:t>
            </w:r>
          </w:p>
        </w:tc>
      </w:tr>
      <w:tr w:rsidR="00AB6BAC" w:rsidRPr="003760E2" w14:paraId="37A1748D" w14:textId="77777777" w:rsidTr="003760E2">
        <w:trPr>
          <w:trHeight w:val="320"/>
          <w:jc w:val="center"/>
        </w:trPr>
        <w:tc>
          <w:tcPr>
            <w:tcW w:w="1760" w:type="dxa"/>
            <w:noWrap/>
            <w:vAlign w:val="center"/>
          </w:tcPr>
          <w:p w14:paraId="15163630"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T3      </w:t>
            </w:r>
            <w:proofErr w:type="spellStart"/>
            <w:r w:rsidRPr="003760E2">
              <w:rPr>
                <w:rFonts w:ascii="Times New Roman" w:hAnsi="Times New Roman" w:cs="Times New Roman"/>
                <w:b/>
                <w:bCs/>
                <w:color w:val="000000"/>
                <w:sz w:val="18"/>
                <w:szCs w:val="18"/>
              </w:rPr>
              <w:t>nmol</w:t>
            </w:r>
            <w:proofErr w:type="spellEnd"/>
            <w:r w:rsidRPr="003760E2">
              <w:rPr>
                <w:rFonts w:ascii="Times New Roman" w:hAnsi="Times New Roman" w:cs="Times New Roman"/>
                <w:b/>
                <w:bCs/>
                <w:color w:val="000000"/>
                <w:sz w:val="18"/>
                <w:szCs w:val="18"/>
              </w:rPr>
              <w:t>/L</w:t>
            </w:r>
          </w:p>
        </w:tc>
        <w:tc>
          <w:tcPr>
            <w:tcW w:w="1070" w:type="dxa"/>
            <w:noWrap/>
            <w:vAlign w:val="center"/>
          </w:tcPr>
          <w:p w14:paraId="10297C19"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-0.621</w:t>
            </w:r>
          </w:p>
        </w:tc>
        <w:tc>
          <w:tcPr>
            <w:tcW w:w="992" w:type="dxa"/>
            <w:vAlign w:val="center"/>
          </w:tcPr>
          <w:p w14:paraId="228A8873"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&lt;0.0001</w:t>
            </w:r>
          </w:p>
        </w:tc>
      </w:tr>
      <w:tr w:rsidR="00AB6BAC" w:rsidRPr="003760E2" w14:paraId="3570A31E" w14:textId="77777777" w:rsidTr="003760E2">
        <w:trPr>
          <w:trHeight w:val="320"/>
          <w:jc w:val="center"/>
        </w:trPr>
        <w:tc>
          <w:tcPr>
            <w:tcW w:w="1760" w:type="dxa"/>
            <w:noWrap/>
            <w:vAlign w:val="center"/>
          </w:tcPr>
          <w:p w14:paraId="480117B8"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lastRenderedPageBreak/>
              <w:t xml:space="preserve">T4      </w:t>
            </w:r>
            <w:proofErr w:type="spellStart"/>
            <w:r w:rsidRPr="003760E2">
              <w:rPr>
                <w:rFonts w:ascii="Times New Roman" w:hAnsi="Times New Roman" w:cs="Times New Roman"/>
                <w:b/>
                <w:bCs/>
                <w:color w:val="000000"/>
                <w:sz w:val="18"/>
                <w:szCs w:val="18"/>
              </w:rPr>
              <w:t>nmol</w:t>
            </w:r>
            <w:proofErr w:type="spellEnd"/>
            <w:r w:rsidRPr="003760E2">
              <w:rPr>
                <w:rFonts w:ascii="Times New Roman" w:hAnsi="Times New Roman" w:cs="Times New Roman"/>
                <w:b/>
                <w:bCs/>
                <w:color w:val="000000"/>
                <w:sz w:val="18"/>
                <w:szCs w:val="18"/>
              </w:rPr>
              <w:t>/L</w:t>
            </w:r>
          </w:p>
        </w:tc>
        <w:tc>
          <w:tcPr>
            <w:tcW w:w="1070" w:type="dxa"/>
            <w:noWrap/>
            <w:vAlign w:val="center"/>
          </w:tcPr>
          <w:p w14:paraId="6CF7C72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-0.566</w:t>
            </w:r>
          </w:p>
        </w:tc>
        <w:tc>
          <w:tcPr>
            <w:tcW w:w="992" w:type="dxa"/>
            <w:vAlign w:val="center"/>
          </w:tcPr>
          <w:p w14:paraId="78A03726"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&lt;0.0001</w:t>
            </w:r>
          </w:p>
        </w:tc>
      </w:tr>
      <w:tr w:rsidR="00AB6BAC" w:rsidRPr="003760E2" w14:paraId="008A9ED5" w14:textId="77777777" w:rsidTr="003760E2">
        <w:trPr>
          <w:trHeight w:val="320"/>
          <w:jc w:val="center"/>
        </w:trPr>
        <w:tc>
          <w:tcPr>
            <w:tcW w:w="1760" w:type="dxa"/>
            <w:noWrap/>
            <w:vAlign w:val="center"/>
          </w:tcPr>
          <w:p w14:paraId="3D2E888B" w14:textId="0BA1B670"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TSH      </w:t>
            </w:r>
            <w:proofErr w:type="spellStart"/>
            <w:r w:rsidRPr="003760E2">
              <w:rPr>
                <w:rFonts w:ascii="Times New Roman" w:hAnsi="Times New Roman" w:cs="Times New Roman"/>
                <w:b/>
                <w:bCs/>
                <w:color w:val="000000"/>
                <w:sz w:val="18"/>
                <w:szCs w:val="18"/>
              </w:rPr>
              <w:t>mIU</w:t>
            </w:r>
            <w:proofErr w:type="spellEnd"/>
            <w:r w:rsidRPr="003760E2">
              <w:rPr>
                <w:rFonts w:ascii="Times New Roman" w:hAnsi="Times New Roman" w:cs="Times New Roman"/>
                <w:b/>
                <w:bCs/>
                <w:color w:val="000000"/>
                <w:sz w:val="18"/>
                <w:szCs w:val="18"/>
              </w:rPr>
              <w:t>/ml</w:t>
            </w:r>
          </w:p>
        </w:tc>
        <w:tc>
          <w:tcPr>
            <w:tcW w:w="1070" w:type="dxa"/>
            <w:noWrap/>
            <w:vAlign w:val="center"/>
          </w:tcPr>
          <w:p w14:paraId="3D3923BF"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0.252</w:t>
            </w:r>
          </w:p>
        </w:tc>
        <w:tc>
          <w:tcPr>
            <w:tcW w:w="992" w:type="dxa"/>
            <w:vAlign w:val="center"/>
          </w:tcPr>
          <w:p w14:paraId="541D3BC4"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0.060</w:t>
            </w:r>
          </w:p>
        </w:tc>
      </w:tr>
      <w:tr w:rsidR="00AB6BAC" w:rsidRPr="003760E2" w14:paraId="3C743E81" w14:textId="77777777" w:rsidTr="003760E2">
        <w:trPr>
          <w:trHeight w:val="320"/>
          <w:jc w:val="center"/>
        </w:trPr>
        <w:tc>
          <w:tcPr>
            <w:tcW w:w="1760" w:type="dxa"/>
            <w:noWrap/>
            <w:vAlign w:val="center"/>
          </w:tcPr>
          <w:p w14:paraId="60FBEF93"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 Cho.  </w:t>
            </w:r>
            <w:r w:rsidRPr="003760E2">
              <w:rPr>
                <w:rFonts w:ascii="Times New Roman" w:hAnsi="Times New Roman" w:cs="Times New Roman"/>
                <w:b/>
                <w:bCs/>
                <w:sz w:val="18"/>
                <w:szCs w:val="18"/>
                <w:lang w:bidi="ar-IQ"/>
              </w:rPr>
              <w:t xml:space="preserve"> mg/mL</w:t>
            </w:r>
          </w:p>
        </w:tc>
        <w:tc>
          <w:tcPr>
            <w:tcW w:w="1070" w:type="dxa"/>
            <w:noWrap/>
            <w:vAlign w:val="center"/>
          </w:tcPr>
          <w:p w14:paraId="3C22BBF6"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-0.327</w:t>
            </w:r>
          </w:p>
        </w:tc>
        <w:tc>
          <w:tcPr>
            <w:tcW w:w="992" w:type="dxa"/>
            <w:vAlign w:val="center"/>
          </w:tcPr>
          <w:p w14:paraId="1B919E57"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0.014</w:t>
            </w:r>
          </w:p>
        </w:tc>
      </w:tr>
      <w:tr w:rsidR="00AB6BAC" w:rsidRPr="003760E2" w14:paraId="14564EE6" w14:textId="77777777" w:rsidTr="003760E2">
        <w:trPr>
          <w:trHeight w:val="320"/>
          <w:jc w:val="center"/>
        </w:trPr>
        <w:tc>
          <w:tcPr>
            <w:tcW w:w="1760" w:type="dxa"/>
            <w:noWrap/>
            <w:vAlign w:val="center"/>
          </w:tcPr>
          <w:p w14:paraId="528EBEF7"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TGs    </w:t>
            </w:r>
            <w:r w:rsidRPr="003760E2">
              <w:rPr>
                <w:rFonts w:ascii="Times New Roman" w:hAnsi="Times New Roman" w:cs="Times New Roman"/>
                <w:b/>
                <w:bCs/>
                <w:sz w:val="18"/>
                <w:szCs w:val="18"/>
                <w:lang w:bidi="ar-IQ"/>
              </w:rPr>
              <w:t xml:space="preserve"> mg/mL</w:t>
            </w:r>
          </w:p>
        </w:tc>
        <w:tc>
          <w:tcPr>
            <w:tcW w:w="1070" w:type="dxa"/>
            <w:noWrap/>
            <w:vAlign w:val="center"/>
          </w:tcPr>
          <w:p w14:paraId="4940FD5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0.195</w:t>
            </w:r>
          </w:p>
        </w:tc>
        <w:tc>
          <w:tcPr>
            <w:tcW w:w="992" w:type="dxa"/>
            <w:vAlign w:val="center"/>
          </w:tcPr>
          <w:p w14:paraId="5D43FD39"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0.149</w:t>
            </w:r>
          </w:p>
        </w:tc>
      </w:tr>
      <w:tr w:rsidR="00AB6BAC" w:rsidRPr="003760E2" w14:paraId="02CC16A4" w14:textId="77777777" w:rsidTr="003760E2">
        <w:trPr>
          <w:trHeight w:val="320"/>
          <w:jc w:val="center"/>
        </w:trPr>
        <w:tc>
          <w:tcPr>
            <w:tcW w:w="1760" w:type="dxa"/>
            <w:noWrap/>
            <w:vAlign w:val="center"/>
          </w:tcPr>
          <w:p w14:paraId="4E1D8334"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HDL   </w:t>
            </w:r>
            <w:r w:rsidRPr="003760E2">
              <w:rPr>
                <w:rFonts w:ascii="Times New Roman" w:hAnsi="Times New Roman" w:cs="Times New Roman"/>
                <w:b/>
                <w:bCs/>
                <w:sz w:val="18"/>
                <w:szCs w:val="18"/>
                <w:lang w:bidi="ar-IQ"/>
              </w:rPr>
              <w:t xml:space="preserve"> mg/mL</w:t>
            </w:r>
          </w:p>
        </w:tc>
        <w:tc>
          <w:tcPr>
            <w:tcW w:w="1070" w:type="dxa"/>
            <w:noWrap/>
            <w:vAlign w:val="center"/>
          </w:tcPr>
          <w:p w14:paraId="5D3F3DD4"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-0.075</w:t>
            </w:r>
          </w:p>
        </w:tc>
        <w:tc>
          <w:tcPr>
            <w:tcW w:w="992" w:type="dxa"/>
            <w:vAlign w:val="center"/>
          </w:tcPr>
          <w:p w14:paraId="5E33C2FC"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0.583</w:t>
            </w:r>
          </w:p>
        </w:tc>
      </w:tr>
      <w:tr w:rsidR="00AB6BAC" w:rsidRPr="003760E2" w14:paraId="2D664A21" w14:textId="77777777" w:rsidTr="003760E2">
        <w:trPr>
          <w:trHeight w:val="335"/>
          <w:jc w:val="center"/>
        </w:trPr>
        <w:tc>
          <w:tcPr>
            <w:tcW w:w="1760" w:type="dxa"/>
            <w:noWrap/>
            <w:vAlign w:val="center"/>
          </w:tcPr>
          <w:p w14:paraId="6A8D43ED"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LDL     </w:t>
            </w:r>
            <w:r w:rsidRPr="003760E2">
              <w:rPr>
                <w:rFonts w:ascii="Times New Roman" w:hAnsi="Times New Roman" w:cs="Times New Roman"/>
                <w:b/>
                <w:bCs/>
                <w:sz w:val="18"/>
                <w:szCs w:val="18"/>
                <w:lang w:bidi="ar-IQ"/>
              </w:rPr>
              <w:t xml:space="preserve"> mg/mL</w:t>
            </w:r>
          </w:p>
        </w:tc>
        <w:tc>
          <w:tcPr>
            <w:tcW w:w="1070" w:type="dxa"/>
            <w:noWrap/>
            <w:vAlign w:val="center"/>
          </w:tcPr>
          <w:p w14:paraId="4873DDB3"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-0.368</w:t>
            </w:r>
          </w:p>
        </w:tc>
        <w:tc>
          <w:tcPr>
            <w:tcW w:w="992" w:type="dxa"/>
            <w:vAlign w:val="center"/>
          </w:tcPr>
          <w:p w14:paraId="200CFD83"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0.005</w:t>
            </w:r>
          </w:p>
        </w:tc>
      </w:tr>
      <w:tr w:rsidR="00AB6BAC" w:rsidRPr="003760E2" w14:paraId="618D440F" w14:textId="77777777" w:rsidTr="003760E2">
        <w:trPr>
          <w:trHeight w:val="335"/>
          <w:jc w:val="center"/>
        </w:trPr>
        <w:tc>
          <w:tcPr>
            <w:tcW w:w="1760" w:type="dxa"/>
            <w:noWrap/>
            <w:vAlign w:val="center"/>
          </w:tcPr>
          <w:p w14:paraId="4836AF07"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VLDL   </w:t>
            </w:r>
            <w:r w:rsidRPr="003760E2">
              <w:rPr>
                <w:rFonts w:ascii="Times New Roman" w:hAnsi="Times New Roman" w:cs="Times New Roman"/>
                <w:b/>
                <w:bCs/>
                <w:sz w:val="18"/>
                <w:szCs w:val="18"/>
                <w:lang w:bidi="ar-IQ"/>
              </w:rPr>
              <w:t xml:space="preserve"> mg/mL</w:t>
            </w:r>
          </w:p>
        </w:tc>
        <w:tc>
          <w:tcPr>
            <w:tcW w:w="1070" w:type="dxa"/>
            <w:noWrap/>
            <w:vAlign w:val="center"/>
          </w:tcPr>
          <w:p w14:paraId="74E56D9E"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0.195</w:t>
            </w:r>
          </w:p>
        </w:tc>
        <w:tc>
          <w:tcPr>
            <w:tcW w:w="992" w:type="dxa"/>
            <w:vAlign w:val="center"/>
          </w:tcPr>
          <w:p w14:paraId="20AB2A94"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0.149</w:t>
            </w:r>
          </w:p>
        </w:tc>
      </w:tr>
    </w:tbl>
    <w:p w14:paraId="7D253181" w14:textId="77777777" w:rsidR="00AB6BAC" w:rsidRPr="00AB6BAC" w:rsidRDefault="00AB6BAC" w:rsidP="00DC0CC2">
      <w:pPr>
        <w:spacing w:line="276" w:lineRule="auto"/>
        <w:jc w:val="center"/>
        <w:rPr>
          <w:rFonts w:asciiTheme="majorBidi" w:hAnsiTheme="majorBidi" w:cstheme="majorBidi"/>
          <w:sz w:val="20"/>
          <w:szCs w:val="20"/>
          <w:lang w:bidi="ar-IQ"/>
        </w:rPr>
      </w:pPr>
      <w:r w:rsidRPr="00AB6BAC">
        <w:rPr>
          <w:rFonts w:asciiTheme="majorBidi" w:hAnsiTheme="majorBidi" w:cstheme="majorBidi"/>
          <w:sz w:val="20"/>
          <w:szCs w:val="20"/>
          <w:lang w:bidi="ar-IQ"/>
        </w:rPr>
        <w:t xml:space="preserve">Table 3: Association of </w:t>
      </w:r>
      <w:proofErr w:type="spellStart"/>
      <w:r w:rsidRPr="00AB6BAC">
        <w:rPr>
          <w:rFonts w:asciiTheme="majorBidi" w:hAnsiTheme="majorBidi" w:cstheme="majorBidi"/>
          <w:sz w:val="20"/>
          <w:szCs w:val="20"/>
          <w:lang w:bidi="ar-IQ"/>
        </w:rPr>
        <w:t>Neudesin</w:t>
      </w:r>
      <w:proofErr w:type="spellEnd"/>
      <w:r w:rsidRPr="00AB6BAC">
        <w:rPr>
          <w:rFonts w:asciiTheme="majorBidi" w:hAnsiTheme="majorBidi" w:cstheme="majorBidi"/>
          <w:sz w:val="20"/>
          <w:szCs w:val="20"/>
          <w:lang w:bidi="ar-IQ"/>
        </w:rPr>
        <w:t xml:space="preserve"> with Studied Parameters in Hyperthyroidism</w:t>
      </w:r>
    </w:p>
    <w:tbl>
      <w:tblPr>
        <w:tblStyle w:val="TableGrid18"/>
        <w:tblW w:w="3617" w:type="dxa"/>
        <w:jc w:val="center"/>
        <w:tblLook w:val="04A0" w:firstRow="1" w:lastRow="0" w:firstColumn="1" w:lastColumn="0" w:noHBand="0" w:noVBand="1"/>
      </w:tblPr>
      <w:tblGrid>
        <w:gridCol w:w="1578"/>
        <w:gridCol w:w="1046"/>
        <w:gridCol w:w="993"/>
      </w:tblGrid>
      <w:tr w:rsidR="00AB6BAC" w:rsidRPr="003760E2" w14:paraId="55A19A67" w14:textId="77777777" w:rsidTr="003760E2">
        <w:trPr>
          <w:jc w:val="center"/>
        </w:trPr>
        <w:tc>
          <w:tcPr>
            <w:tcW w:w="1578" w:type="dxa"/>
            <w:noWrap/>
            <w:vAlign w:val="center"/>
            <w:hideMark/>
          </w:tcPr>
          <w:p w14:paraId="3CBE6031"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Parameter</w:t>
            </w:r>
          </w:p>
          <w:p w14:paraId="6E7D0859"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Hypothyroidism</w:t>
            </w:r>
          </w:p>
        </w:tc>
        <w:tc>
          <w:tcPr>
            <w:tcW w:w="1046" w:type="dxa"/>
            <w:noWrap/>
            <w:vAlign w:val="center"/>
            <w:hideMark/>
          </w:tcPr>
          <w:p w14:paraId="4DB62249"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r (</w:t>
            </w:r>
            <w:proofErr w:type="spellStart"/>
            <w:r w:rsidRPr="003760E2">
              <w:rPr>
                <w:rFonts w:ascii="Times New Roman" w:hAnsi="Times New Roman" w:cs="Times New Roman"/>
                <w:b/>
                <w:bCs/>
                <w:sz w:val="18"/>
                <w:szCs w:val="18"/>
              </w:rPr>
              <w:t>Neudesin</w:t>
            </w:r>
            <w:proofErr w:type="spellEnd"/>
            <w:r w:rsidRPr="003760E2">
              <w:rPr>
                <w:rFonts w:ascii="Times New Roman" w:hAnsi="Times New Roman" w:cs="Times New Roman"/>
                <w:b/>
                <w:bCs/>
                <w:sz w:val="18"/>
                <w:szCs w:val="18"/>
              </w:rPr>
              <w:t xml:space="preserve"> </w:t>
            </w:r>
            <w:proofErr w:type="spellStart"/>
            <w:r w:rsidRPr="003760E2">
              <w:rPr>
                <w:rFonts w:ascii="Times New Roman" w:hAnsi="Times New Roman" w:cs="Times New Roman"/>
                <w:b/>
                <w:bCs/>
                <w:sz w:val="18"/>
                <w:szCs w:val="18"/>
              </w:rPr>
              <w:t>ng</w:t>
            </w:r>
            <w:proofErr w:type="spellEnd"/>
            <w:r w:rsidRPr="003760E2">
              <w:rPr>
                <w:rFonts w:ascii="Times New Roman" w:hAnsi="Times New Roman" w:cs="Times New Roman"/>
                <w:b/>
                <w:bCs/>
                <w:sz w:val="18"/>
                <w:szCs w:val="18"/>
              </w:rPr>
              <w:t>/mL)</w:t>
            </w:r>
          </w:p>
        </w:tc>
        <w:tc>
          <w:tcPr>
            <w:tcW w:w="993" w:type="dxa"/>
            <w:vAlign w:val="center"/>
          </w:tcPr>
          <w:p w14:paraId="5F4E305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p-value</w:t>
            </w:r>
          </w:p>
        </w:tc>
      </w:tr>
      <w:tr w:rsidR="00AB6BAC" w:rsidRPr="003760E2" w14:paraId="4DD8FF35" w14:textId="77777777" w:rsidTr="003760E2">
        <w:trPr>
          <w:jc w:val="center"/>
        </w:trPr>
        <w:tc>
          <w:tcPr>
            <w:tcW w:w="1578" w:type="dxa"/>
            <w:noWrap/>
            <w:vAlign w:val="center"/>
          </w:tcPr>
          <w:p w14:paraId="33AD339E"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T3      </w:t>
            </w:r>
            <w:proofErr w:type="spellStart"/>
            <w:r w:rsidRPr="003760E2">
              <w:rPr>
                <w:rFonts w:ascii="Times New Roman" w:hAnsi="Times New Roman" w:cs="Times New Roman"/>
                <w:b/>
                <w:bCs/>
                <w:color w:val="000000"/>
                <w:sz w:val="18"/>
                <w:szCs w:val="18"/>
              </w:rPr>
              <w:t>nmol</w:t>
            </w:r>
            <w:proofErr w:type="spellEnd"/>
            <w:r w:rsidRPr="003760E2">
              <w:rPr>
                <w:rFonts w:ascii="Times New Roman" w:hAnsi="Times New Roman" w:cs="Times New Roman"/>
                <w:b/>
                <w:bCs/>
                <w:color w:val="000000"/>
                <w:sz w:val="18"/>
                <w:szCs w:val="18"/>
              </w:rPr>
              <w:t>/L</w:t>
            </w:r>
          </w:p>
        </w:tc>
        <w:tc>
          <w:tcPr>
            <w:tcW w:w="1046" w:type="dxa"/>
            <w:noWrap/>
            <w:vAlign w:val="center"/>
          </w:tcPr>
          <w:p w14:paraId="16A1F1D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0.321</w:t>
            </w:r>
          </w:p>
        </w:tc>
        <w:tc>
          <w:tcPr>
            <w:tcW w:w="993" w:type="dxa"/>
            <w:vAlign w:val="center"/>
          </w:tcPr>
          <w:p w14:paraId="5DC79CD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0.016</w:t>
            </w:r>
          </w:p>
        </w:tc>
      </w:tr>
      <w:tr w:rsidR="00AB6BAC" w:rsidRPr="003760E2" w14:paraId="573081AA" w14:textId="77777777" w:rsidTr="003760E2">
        <w:trPr>
          <w:jc w:val="center"/>
        </w:trPr>
        <w:tc>
          <w:tcPr>
            <w:tcW w:w="1578" w:type="dxa"/>
            <w:noWrap/>
            <w:vAlign w:val="center"/>
          </w:tcPr>
          <w:p w14:paraId="18C36DF2"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T4      </w:t>
            </w:r>
            <w:proofErr w:type="spellStart"/>
            <w:r w:rsidRPr="003760E2">
              <w:rPr>
                <w:rFonts w:ascii="Times New Roman" w:hAnsi="Times New Roman" w:cs="Times New Roman"/>
                <w:b/>
                <w:bCs/>
                <w:color w:val="000000"/>
                <w:sz w:val="18"/>
                <w:szCs w:val="18"/>
              </w:rPr>
              <w:t>nmol</w:t>
            </w:r>
            <w:proofErr w:type="spellEnd"/>
            <w:r w:rsidRPr="003760E2">
              <w:rPr>
                <w:rFonts w:ascii="Times New Roman" w:hAnsi="Times New Roman" w:cs="Times New Roman"/>
                <w:b/>
                <w:bCs/>
                <w:color w:val="000000"/>
                <w:sz w:val="18"/>
                <w:szCs w:val="18"/>
              </w:rPr>
              <w:t>/L</w:t>
            </w:r>
          </w:p>
        </w:tc>
        <w:tc>
          <w:tcPr>
            <w:tcW w:w="1046" w:type="dxa"/>
            <w:noWrap/>
            <w:vAlign w:val="center"/>
          </w:tcPr>
          <w:p w14:paraId="1C5DA0A7"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0.4171</w:t>
            </w:r>
          </w:p>
        </w:tc>
        <w:tc>
          <w:tcPr>
            <w:tcW w:w="993" w:type="dxa"/>
            <w:vAlign w:val="center"/>
          </w:tcPr>
          <w:p w14:paraId="4EE8E1F0"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0.001</w:t>
            </w:r>
          </w:p>
        </w:tc>
      </w:tr>
      <w:tr w:rsidR="00AB6BAC" w:rsidRPr="003760E2" w14:paraId="7ED24386" w14:textId="77777777" w:rsidTr="003760E2">
        <w:trPr>
          <w:jc w:val="center"/>
        </w:trPr>
        <w:tc>
          <w:tcPr>
            <w:tcW w:w="1578" w:type="dxa"/>
            <w:noWrap/>
            <w:vAlign w:val="center"/>
          </w:tcPr>
          <w:p w14:paraId="7AEB298D" w14:textId="55E09A16"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TSH      </w:t>
            </w:r>
            <w:proofErr w:type="spellStart"/>
            <w:r w:rsidRPr="003760E2">
              <w:rPr>
                <w:rFonts w:ascii="Times New Roman" w:hAnsi="Times New Roman" w:cs="Times New Roman"/>
                <w:b/>
                <w:bCs/>
                <w:color w:val="000000"/>
                <w:sz w:val="18"/>
                <w:szCs w:val="18"/>
              </w:rPr>
              <w:t>mIU</w:t>
            </w:r>
            <w:proofErr w:type="spellEnd"/>
            <w:r w:rsidRPr="003760E2">
              <w:rPr>
                <w:rFonts w:ascii="Times New Roman" w:hAnsi="Times New Roman" w:cs="Times New Roman"/>
                <w:b/>
                <w:bCs/>
                <w:color w:val="000000"/>
                <w:sz w:val="18"/>
                <w:szCs w:val="18"/>
              </w:rPr>
              <w:t>/mL</w:t>
            </w:r>
          </w:p>
        </w:tc>
        <w:tc>
          <w:tcPr>
            <w:tcW w:w="1046" w:type="dxa"/>
            <w:noWrap/>
            <w:vAlign w:val="center"/>
          </w:tcPr>
          <w:p w14:paraId="2AA5FB6A"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-0.229</w:t>
            </w:r>
          </w:p>
        </w:tc>
        <w:tc>
          <w:tcPr>
            <w:tcW w:w="993" w:type="dxa"/>
            <w:vAlign w:val="center"/>
          </w:tcPr>
          <w:p w14:paraId="3CAAC84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0.090</w:t>
            </w:r>
          </w:p>
        </w:tc>
      </w:tr>
      <w:tr w:rsidR="00AB6BAC" w:rsidRPr="003760E2" w14:paraId="2F3F4C14" w14:textId="77777777" w:rsidTr="003760E2">
        <w:trPr>
          <w:jc w:val="center"/>
        </w:trPr>
        <w:tc>
          <w:tcPr>
            <w:tcW w:w="1578" w:type="dxa"/>
            <w:noWrap/>
            <w:vAlign w:val="center"/>
          </w:tcPr>
          <w:p w14:paraId="637575EC"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 Cho.  </w:t>
            </w:r>
            <w:r w:rsidRPr="003760E2">
              <w:rPr>
                <w:rFonts w:ascii="Times New Roman" w:hAnsi="Times New Roman" w:cs="Times New Roman"/>
                <w:b/>
                <w:bCs/>
                <w:sz w:val="18"/>
                <w:szCs w:val="18"/>
                <w:lang w:bidi="ar-IQ"/>
              </w:rPr>
              <w:t xml:space="preserve"> mg/mL</w:t>
            </w:r>
          </w:p>
        </w:tc>
        <w:tc>
          <w:tcPr>
            <w:tcW w:w="1046" w:type="dxa"/>
            <w:noWrap/>
            <w:vAlign w:val="center"/>
          </w:tcPr>
          <w:p w14:paraId="2C39BD85"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0.016</w:t>
            </w:r>
          </w:p>
        </w:tc>
        <w:tc>
          <w:tcPr>
            <w:tcW w:w="993" w:type="dxa"/>
            <w:vAlign w:val="center"/>
          </w:tcPr>
          <w:p w14:paraId="3E28688A"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0.909</w:t>
            </w:r>
          </w:p>
        </w:tc>
      </w:tr>
      <w:tr w:rsidR="00AB6BAC" w:rsidRPr="003760E2" w14:paraId="272608CC" w14:textId="77777777" w:rsidTr="003760E2">
        <w:trPr>
          <w:jc w:val="center"/>
        </w:trPr>
        <w:tc>
          <w:tcPr>
            <w:tcW w:w="1578" w:type="dxa"/>
            <w:noWrap/>
            <w:vAlign w:val="center"/>
          </w:tcPr>
          <w:p w14:paraId="2A565BDB"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TGs    </w:t>
            </w:r>
            <w:r w:rsidRPr="003760E2">
              <w:rPr>
                <w:rFonts w:ascii="Times New Roman" w:hAnsi="Times New Roman" w:cs="Times New Roman"/>
                <w:b/>
                <w:bCs/>
                <w:sz w:val="18"/>
                <w:szCs w:val="18"/>
                <w:lang w:bidi="ar-IQ"/>
              </w:rPr>
              <w:t xml:space="preserve"> mg/mL</w:t>
            </w:r>
          </w:p>
        </w:tc>
        <w:tc>
          <w:tcPr>
            <w:tcW w:w="1046" w:type="dxa"/>
            <w:noWrap/>
            <w:vAlign w:val="center"/>
          </w:tcPr>
          <w:p w14:paraId="4E0EAA10"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-0.248</w:t>
            </w:r>
          </w:p>
        </w:tc>
        <w:tc>
          <w:tcPr>
            <w:tcW w:w="993" w:type="dxa"/>
            <w:vAlign w:val="center"/>
          </w:tcPr>
          <w:p w14:paraId="239F08EC"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0.065</w:t>
            </w:r>
          </w:p>
        </w:tc>
      </w:tr>
      <w:tr w:rsidR="00AB6BAC" w:rsidRPr="003760E2" w14:paraId="120B5A69" w14:textId="77777777" w:rsidTr="003760E2">
        <w:trPr>
          <w:jc w:val="center"/>
        </w:trPr>
        <w:tc>
          <w:tcPr>
            <w:tcW w:w="1578" w:type="dxa"/>
            <w:noWrap/>
            <w:vAlign w:val="center"/>
          </w:tcPr>
          <w:p w14:paraId="792C4363"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HDL   </w:t>
            </w:r>
            <w:r w:rsidRPr="003760E2">
              <w:rPr>
                <w:rFonts w:ascii="Times New Roman" w:hAnsi="Times New Roman" w:cs="Times New Roman"/>
                <w:b/>
                <w:bCs/>
                <w:sz w:val="18"/>
                <w:szCs w:val="18"/>
                <w:lang w:bidi="ar-IQ"/>
              </w:rPr>
              <w:t xml:space="preserve"> mg/mL</w:t>
            </w:r>
          </w:p>
        </w:tc>
        <w:tc>
          <w:tcPr>
            <w:tcW w:w="1046" w:type="dxa"/>
            <w:noWrap/>
            <w:vAlign w:val="center"/>
          </w:tcPr>
          <w:p w14:paraId="32221F88"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-0.026</w:t>
            </w:r>
          </w:p>
        </w:tc>
        <w:tc>
          <w:tcPr>
            <w:tcW w:w="993" w:type="dxa"/>
            <w:vAlign w:val="center"/>
          </w:tcPr>
          <w:p w14:paraId="622073E7"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0.840</w:t>
            </w:r>
          </w:p>
        </w:tc>
      </w:tr>
      <w:tr w:rsidR="00AB6BAC" w:rsidRPr="003760E2" w14:paraId="58D9083D" w14:textId="77777777" w:rsidTr="003760E2">
        <w:trPr>
          <w:jc w:val="center"/>
        </w:trPr>
        <w:tc>
          <w:tcPr>
            <w:tcW w:w="1578" w:type="dxa"/>
            <w:noWrap/>
            <w:vAlign w:val="center"/>
          </w:tcPr>
          <w:p w14:paraId="58981A6D"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LDL     </w:t>
            </w:r>
            <w:r w:rsidRPr="003760E2">
              <w:rPr>
                <w:rFonts w:ascii="Times New Roman" w:hAnsi="Times New Roman" w:cs="Times New Roman"/>
                <w:b/>
                <w:bCs/>
                <w:sz w:val="18"/>
                <w:szCs w:val="18"/>
                <w:lang w:bidi="ar-IQ"/>
              </w:rPr>
              <w:t xml:space="preserve"> mg/mL</w:t>
            </w:r>
          </w:p>
        </w:tc>
        <w:tc>
          <w:tcPr>
            <w:tcW w:w="1046" w:type="dxa"/>
            <w:noWrap/>
            <w:vAlign w:val="center"/>
          </w:tcPr>
          <w:p w14:paraId="5E3AAED9"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0.052</w:t>
            </w:r>
          </w:p>
        </w:tc>
        <w:tc>
          <w:tcPr>
            <w:tcW w:w="993" w:type="dxa"/>
            <w:vAlign w:val="center"/>
          </w:tcPr>
          <w:p w14:paraId="0C52A037"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0.706</w:t>
            </w:r>
          </w:p>
        </w:tc>
      </w:tr>
      <w:tr w:rsidR="00AB6BAC" w:rsidRPr="003760E2" w14:paraId="316A27D5" w14:textId="77777777" w:rsidTr="003760E2">
        <w:trPr>
          <w:jc w:val="center"/>
        </w:trPr>
        <w:tc>
          <w:tcPr>
            <w:tcW w:w="1578" w:type="dxa"/>
            <w:noWrap/>
            <w:vAlign w:val="center"/>
          </w:tcPr>
          <w:p w14:paraId="191DF716" w14:textId="77777777" w:rsidR="00AB6BAC" w:rsidRPr="003760E2" w:rsidRDefault="00AB6BAC" w:rsidP="003760E2">
            <w:pPr>
              <w:jc w:val="center"/>
              <w:rPr>
                <w:rFonts w:ascii="Times New Roman" w:hAnsi="Times New Roman" w:cs="Times New Roman"/>
                <w:b/>
                <w:bCs/>
                <w:color w:val="000000"/>
                <w:sz w:val="18"/>
                <w:szCs w:val="18"/>
              </w:rPr>
            </w:pPr>
            <w:r w:rsidRPr="003760E2">
              <w:rPr>
                <w:rFonts w:ascii="Times New Roman" w:hAnsi="Times New Roman" w:cs="Times New Roman"/>
                <w:b/>
                <w:bCs/>
                <w:color w:val="000000"/>
                <w:sz w:val="18"/>
                <w:szCs w:val="18"/>
              </w:rPr>
              <w:t xml:space="preserve">VLDL   </w:t>
            </w:r>
            <w:r w:rsidRPr="003760E2">
              <w:rPr>
                <w:rFonts w:ascii="Times New Roman" w:hAnsi="Times New Roman" w:cs="Times New Roman"/>
                <w:b/>
                <w:bCs/>
                <w:sz w:val="18"/>
                <w:szCs w:val="18"/>
                <w:lang w:bidi="ar-IQ"/>
              </w:rPr>
              <w:t xml:space="preserve"> mg/mL</w:t>
            </w:r>
          </w:p>
        </w:tc>
        <w:tc>
          <w:tcPr>
            <w:tcW w:w="1046" w:type="dxa"/>
            <w:noWrap/>
            <w:vAlign w:val="center"/>
          </w:tcPr>
          <w:p w14:paraId="2D9CC230"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-0.239</w:t>
            </w:r>
          </w:p>
        </w:tc>
        <w:tc>
          <w:tcPr>
            <w:tcW w:w="993" w:type="dxa"/>
            <w:vAlign w:val="center"/>
          </w:tcPr>
          <w:p w14:paraId="71D271F1" w14:textId="77777777" w:rsidR="00AB6BAC" w:rsidRPr="003760E2" w:rsidRDefault="00AB6BAC" w:rsidP="003760E2">
            <w:pPr>
              <w:jc w:val="center"/>
              <w:rPr>
                <w:rFonts w:ascii="Times New Roman" w:hAnsi="Times New Roman" w:cs="Times New Roman"/>
                <w:b/>
                <w:bCs/>
                <w:sz w:val="18"/>
                <w:szCs w:val="18"/>
              </w:rPr>
            </w:pPr>
            <w:r w:rsidRPr="003760E2">
              <w:rPr>
                <w:rFonts w:ascii="Times New Roman" w:hAnsi="Times New Roman" w:cs="Times New Roman"/>
                <w:b/>
                <w:bCs/>
                <w:sz w:val="18"/>
                <w:szCs w:val="18"/>
              </w:rPr>
              <w:t>0.079</w:t>
            </w:r>
          </w:p>
        </w:tc>
      </w:tr>
    </w:tbl>
    <w:p w14:paraId="7B3A0D82" w14:textId="77777777" w:rsidR="00AB6BAC" w:rsidRDefault="00AB6BAC" w:rsidP="00DC0CC2">
      <w:pPr>
        <w:spacing w:line="276" w:lineRule="auto"/>
        <w:rPr>
          <w:rFonts w:asciiTheme="majorBidi" w:hAnsiTheme="majorBidi" w:cstheme="majorBidi"/>
          <w:sz w:val="20"/>
          <w:szCs w:val="20"/>
          <w:lang w:bidi="ar-IQ"/>
        </w:rPr>
      </w:pPr>
    </w:p>
    <w:p w14:paraId="57DFD30A" w14:textId="661D8826" w:rsidR="00B8587B" w:rsidRPr="00DC0CC2" w:rsidRDefault="00AB6BAC" w:rsidP="003760E2">
      <w:pPr>
        <w:spacing w:line="276" w:lineRule="auto"/>
        <w:ind w:firstLine="567"/>
        <w:jc w:val="both"/>
        <w:rPr>
          <w:rFonts w:asciiTheme="majorBidi" w:hAnsiTheme="majorBidi" w:cstheme="majorBidi"/>
          <w:lang w:bidi="ar-IQ"/>
        </w:rPr>
      </w:pPr>
      <w:r w:rsidRPr="00DC0CC2">
        <w:rPr>
          <w:rFonts w:asciiTheme="majorBidi" w:hAnsiTheme="majorBidi" w:cstheme="majorBidi"/>
          <w:lang w:bidi="ar-IQ"/>
        </w:rPr>
        <w:t xml:space="preserve">Receiver operating characteristic (ROC) curve checking offered that the best biomarkers were fit to distinguish patients with hypothyroidism patients from HCs T4, T3, and TSH [AUC= 0.9872; P&lt;0.0001; Cut-off value: &lt; 87.2;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92.86; Spec%: 92.86 and</w:t>
      </w:r>
      <w:r w:rsidRPr="00DC0CC2">
        <w:rPr>
          <w:rFonts w:asciiTheme="majorBidi" w:hAnsiTheme="majorBidi" w:cstheme="majorBidi"/>
          <w:b/>
          <w:bCs/>
          <w:lang w:bidi="ar-IQ"/>
        </w:rPr>
        <w:t xml:space="preserve"> </w:t>
      </w:r>
      <w:r w:rsidRPr="00DC0CC2">
        <w:rPr>
          <w:rFonts w:asciiTheme="majorBidi" w:hAnsiTheme="majorBidi" w:cstheme="majorBidi"/>
          <w:lang w:bidi="ar-IQ"/>
        </w:rPr>
        <w:t>LHR: 13]</w:t>
      </w:r>
      <w:r w:rsidRPr="00DC0CC2">
        <w:rPr>
          <w:rFonts w:asciiTheme="majorBidi" w:hAnsiTheme="majorBidi" w:cstheme="majorBidi"/>
          <w:b/>
          <w:bCs/>
          <w:lang w:bidi="ar-IQ"/>
        </w:rPr>
        <w:t>,</w:t>
      </w:r>
      <w:r w:rsidRPr="00DC0CC2">
        <w:rPr>
          <w:rFonts w:asciiTheme="majorBidi" w:hAnsiTheme="majorBidi" w:cstheme="majorBidi"/>
          <w:lang w:bidi="ar-IQ"/>
        </w:rPr>
        <w:t xml:space="preserve"> [AUC=0.8578;p&lt;0.0001; Cut-off value: &lt;1.425;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71.43; Spec%: 75 and</w:t>
      </w:r>
      <w:r w:rsidRPr="00DC0CC2">
        <w:rPr>
          <w:rFonts w:asciiTheme="majorBidi" w:hAnsiTheme="majorBidi" w:cstheme="majorBidi"/>
          <w:b/>
          <w:bCs/>
          <w:lang w:bidi="ar-IQ"/>
        </w:rPr>
        <w:t xml:space="preserve"> </w:t>
      </w:r>
      <w:r w:rsidRPr="00DC0CC2">
        <w:rPr>
          <w:rFonts w:asciiTheme="majorBidi" w:hAnsiTheme="majorBidi" w:cstheme="majorBidi"/>
          <w:lang w:bidi="ar-IQ"/>
        </w:rPr>
        <w:t>LHR: 2.857]</w:t>
      </w:r>
      <w:r w:rsidRPr="00DC0CC2">
        <w:rPr>
          <w:rFonts w:asciiTheme="majorBidi" w:hAnsiTheme="majorBidi" w:cstheme="majorBidi"/>
          <w:b/>
          <w:bCs/>
          <w:lang w:bidi="ar-IQ"/>
        </w:rPr>
        <w:t xml:space="preserve">, </w:t>
      </w:r>
      <w:r w:rsidRPr="00DC0CC2">
        <w:rPr>
          <w:rFonts w:asciiTheme="majorBidi" w:hAnsiTheme="majorBidi" w:cstheme="majorBidi"/>
          <w:lang w:bidi="ar-IQ"/>
        </w:rPr>
        <w:t xml:space="preserve">[AUC=0.9847; P &lt;0.0001; Cut-off value: &gt; 2.685;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xml:space="preserve">%: 96.43; Spec%: 96.43 and LHR: 27], respectively, as shown in </w:t>
      </w:r>
      <w:r w:rsidRPr="00DC0CC2">
        <w:rPr>
          <w:rFonts w:asciiTheme="majorBidi" w:hAnsiTheme="majorBidi" w:cstheme="majorBidi"/>
          <w:b/>
          <w:bCs/>
          <w:lang w:bidi="ar-IQ"/>
        </w:rPr>
        <w:t xml:space="preserve">table 4, </w:t>
      </w:r>
      <w:r w:rsidRPr="00DC0CC2">
        <w:rPr>
          <w:rFonts w:asciiTheme="majorBidi" w:hAnsiTheme="majorBidi" w:cstheme="majorBidi"/>
          <w:lang w:bidi="ar-IQ"/>
        </w:rPr>
        <w:t xml:space="preserve">also </w:t>
      </w:r>
      <w:proofErr w:type="spellStart"/>
      <w:r w:rsidRPr="00DC0CC2">
        <w:rPr>
          <w:rFonts w:asciiTheme="majorBidi" w:hAnsiTheme="majorBidi" w:cstheme="majorBidi"/>
          <w:lang w:bidi="ar-IQ"/>
        </w:rPr>
        <w:t>neudesin</w:t>
      </w:r>
      <w:proofErr w:type="spellEnd"/>
      <w:r w:rsidRPr="00DC0CC2">
        <w:rPr>
          <w:rFonts w:asciiTheme="majorBidi" w:hAnsiTheme="majorBidi" w:cstheme="majorBidi"/>
          <w:lang w:bidi="ar-IQ"/>
        </w:rPr>
        <w:t xml:space="preserve"> was established to be a better predicator for hypothyroidism [AUC =0.8017; P = &lt;0.0001; Cut-off value: &lt; 6.008;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78.57; Spec%: 78.57 and</w:t>
      </w:r>
      <w:r w:rsidRPr="00DC0CC2">
        <w:rPr>
          <w:rFonts w:asciiTheme="majorBidi" w:hAnsiTheme="majorBidi" w:cstheme="majorBidi"/>
          <w:b/>
          <w:bCs/>
          <w:lang w:bidi="ar-IQ"/>
        </w:rPr>
        <w:t xml:space="preserve"> </w:t>
      </w:r>
      <w:r w:rsidRPr="00DC0CC2">
        <w:rPr>
          <w:rFonts w:asciiTheme="majorBidi" w:hAnsiTheme="majorBidi" w:cstheme="majorBidi"/>
          <w:lang w:bidi="ar-IQ"/>
        </w:rPr>
        <w:t xml:space="preserve">LHR: 3.667] as shown in </w:t>
      </w:r>
      <w:r w:rsidRPr="00DC0CC2">
        <w:rPr>
          <w:rFonts w:asciiTheme="majorBidi" w:hAnsiTheme="majorBidi" w:cstheme="majorBidi"/>
          <w:b/>
          <w:bCs/>
          <w:lang w:bidi="ar-IQ"/>
        </w:rPr>
        <w:t>table 4,</w:t>
      </w:r>
      <w:r w:rsidRPr="00DC0CC2">
        <w:rPr>
          <w:rFonts w:asciiTheme="majorBidi" w:hAnsiTheme="majorBidi" w:cstheme="majorBidi"/>
          <w:lang w:bidi="ar-IQ"/>
        </w:rPr>
        <w:t xml:space="preserve"> while ( TGs, LDL, VLDL, and T. Cho.) exhibited excellent ability to distinguish between healthy people and sick [AUC=0.9445; p</w:t>
      </w:r>
      <w:r w:rsidRPr="00DC0CC2">
        <w:rPr>
          <w:rFonts w:asciiTheme="majorBidi" w:hAnsiTheme="majorBidi" w:cstheme="majorBidi" w:hint="cs"/>
          <w:rtl/>
          <w:lang w:bidi="ar-IQ"/>
        </w:rPr>
        <w:t>&gt;</w:t>
      </w:r>
      <w:r w:rsidRPr="00DC0CC2">
        <w:rPr>
          <w:rFonts w:asciiTheme="majorBidi" w:hAnsiTheme="majorBidi" w:cstheme="majorBidi"/>
          <w:lang w:bidi="ar-IQ"/>
        </w:rPr>
        <w:t xml:space="preserve">0.0001; Cut-off value: &gt;148;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82.14; Spec%: 75 and</w:t>
      </w:r>
      <w:r w:rsidRPr="00DC0CC2">
        <w:rPr>
          <w:rFonts w:asciiTheme="majorBidi" w:hAnsiTheme="majorBidi" w:cstheme="majorBidi"/>
          <w:b/>
          <w:bCs/>
          <w:lang w:bidi="ar-IQ"/>
        </w:rPr>
        <w:t xml:space="preserve"> </w:t>
      </w:r>
      <w:r w:rsidRPr="00DC0CC2">
        <w:rPr>
          <w:rFonts w:asciiTheme="majorBidi" w:hAnsiTheme="majorBidi" w:cstheme="majorBidi"/>
          <w:lang w:bidi="ar-IQ"/>
        </w:rPr>
        <w:t xml:space="preserve">LHR: 3.286], [AUC=0.8724; P&lt;0.0001; Cut-off value: &gt; 86.1;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78.57; Spec%: 78.57 and</w:t>
      </w:r>
      <w:r w:rsidRPr="00DC0CC2">
        <w:rPr>
          <w:rFonts w:asciiTheme="majorBidi" w:hAnsiTheme="majorBidi" w:cstheme="majorBidi"/>
          <w:b/>
          <w:bCs/>
          <w:lang w:bidi="ar-IQ"/>
        </w:rPr>
        <w:t xml:space="preserve"> </w:t>
      </w:r>
      <w:r w:rsidRPr="00DC0CC2">
        <w:rPr>
          <w:rFonts w:asciiTheme="majorBidi" w:hAnsiTheme="majorBidi" w:cstheme="majorBidi"/>
          <w:lang w:bidi="ar-IQ"/>
        </w:rPr>
        <w:t xml:space="preserve">LHR: 3.667], [AUC=0.9425;p&lt;0.0001; Cut-off value: &gt;29.6;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81.48; Spec%: 75 and</w:t>
      </w:r>
      <w:r w:rsidRPr="00DC0CC2">
        <w:rPr>
          <w:rFonts w:asciiTheme="majorBidi" w:hAnsiTheme="majorBidi" w:cstheme="majorBidi"/>
          <w:b/>
          <w:bCs/>
          <w:lang w:bidi="ar-IQ"/>
        </w:rPr>
        <w:t xml:space="preserve"> </w:t>
      </w:r>
      <w:r w:rsidRPr="00DC0CC2">
        <w:rPr>
          <w:rFonts w:asciiTheme="majorBidi" w:hAnsiTheme="majorBidi" w:cstheme="majorBidi"/>
          <w:lang w:bidi="ar-IQ"/>
        </w:rPr>
        <w:t>LHR: 3.259], and</w:t>
      </w:r>
      <w:r w:rsidRPr="00DC0CC2">
        <w:rPr>
          <w:rFonts w:asciiTheme="majorBidi" w:hAnsiTheme="majorBidi" w:cstheme="majorBidi"/>
          <w:b/>
          <w:bCs/>
          <w:lang w:bidi="ar-IQ"/>
        </w:rPr>
        <w:t xml:space="preserve"> </w:t>
      </w:r>
      <w:r w:rsidRPr="00DC0CC2">
        <w:rPr>
          <w:rFonts w:asciiTheme="majorBidi" w:hAnsiTheme="majorBidi" w:cstheme="majorBidi"/>
          <w:lang w:bidi="ar-IQ"/>
        </w:rPr>
        <w:t xml:space="preserve">[AUC=0.9094; P&lt;0.0001; Cut-off value: &gt; 164.5;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82.14; Spec%: 82.14 and</w:t>
      </w:r>
      <w:r w:rsidRPr="00DC0CC2">
        <w:rPr>
          <w:rFonts w:asciiTheme="majorBidi" w:hAnsiTheme="majorBidi" w:cstheme="majorBidi"/>
          <w:b/>
          <w:bCs/>
          <w:lang w:bidi="ar-IQ"/>
        </w:rPr>
        <w:t xml:space="preserve"> </w:t>
      </w:r>
      <w:r w:rsidRPr="00DC0CC2">
        <w:rPr>
          <w:rFonts w:asciiTheme="majorBidi" w:hAnsiTheme="majorBidi" w:cstheme="majorBidi"/>
          <w:lang w:bidi="ar-IQ"/>
        </w:rPr>
        <w:t>LHR: 4.6]</w:t>
      </w:r>
      <w:r w:rsidRPr="00DC0CC2">
        <w:rPr>
          <w:rFonts w:asciiTheme="majorBidi" w:hAnsiTheme="majorBidi" w:cstheme="majorBidi"/>
          <w:b/>
          <w:bCs/>
          <w:lang w:bidi="ar-IQ"/>
        </w:rPr>
        <w:t>,</w:t>
      </w:r>
      <w:r w:rsidRPr="00DC0CC2">
        <w:rPr>
          <w:rFonts w:asciiTheme="majorBidi" w:hAnsiTheme="majorBidi" w:cstheme="majorBidi"/>
          <w:lang w:bidi="ar-IQ"/>
        </w:rPr>
        <w:t xml:space="preserve"> respectively. While HDL showed a low discriminatory efficacy between healthy individuals, patients [AUC=0.6773; P=0.0227; Cut-off value: &lt; 42.5; </w:t>
      </w:r>
      <w:proofErr w:type="spellStart"/>
      <w:r w:rsidRPr="00DC0CC2">
        <w:rPr>
          <w:rFonts w:asciiTheme="majorBidi" w:hAnsiTheme="majorBidi" w:cstheme="majorBidi"/>
          <w:lang w:bidi="ar-IQ"/>
        </w:rPr>
        <w:t>Sen</w:t>
      </w:r>
      <w:proofErr w:type="spellEnd"/>
      <w:r w:rsidRPr="00DC0CC2">
        <w:rPr>
          <w:rFonts w:asciiTheme="majorBidi" w:hAnsiTheme="majorBidi" w:cstheme="majorBidi"/>
          <w:lang w:bidi="ar-IQ"/>
        </w:rPr>
        <w:t>%: 60.71; Spec%: 64.29 and</w:t>
      </w:r>
      <w:r w:rsidRPr="00DC0CC2">
        <w:rPr>
          <w:rFonts w:asciiTheme="majorBidi" w:hAnsiTheme="majorBidi" w:cstheme="majorBidi"/>
          <w:b/>
          <w:bCs/>
          <w:lang w:bidi="ar-IQ"/>
        </w:rPr>
        <w:t xml:space="preserve"> </w:t>
      </w:r>
      <w:r w:rsidRPr="00DC0CC2">
        <w:rPr>
          <w:rFonts w:asciiTheme="majorBidi" w:hAnsiTheme="majorBidi" w:cstheme="majorBidi"/>
          <w:lang w:bidi="ar-IQ"/>
        </w:rPr>
        <w:t>LHR: 1.7]</w:t>
      </w:r>
      <w:r w:rsidR="003A4CE3" w:rsidRPr="00DC0CC2">
        <w:rPr>
          <w:rFonts w:asciiTheme="majorBidi" w:hAnsiTheme="majorBidi" w:cstheme="majorBidi"/>
          <w:lang w:bidi="ar-IQ"/>
        </w:rPr>
        <w:t>.</w:t>
      </w:r>
    </w:p>
    <w:p w14:paraId="566F9BD8" w14:textId="7BE509D7" w:rsidR="00215E3D" w:rsidRPr="00215E3D" w:rsidRDefault="00AB6BAC" w:rsidP="00DC0CC2">
      <w:pPr>
        <w:jc w:val="center"/>
        <w:rPr>
          <w:rFonts w:asciiTheme="majorBidi" w:eastAsia="Times New Roman" w:hAnsiTheme="majorBidi" w:cstheme="majorBidi"/>
          <w:sz w:val="20"/>
          <w:szCs w:val="20"/>
          <w:rtl/>
        </w:rPr>
      </w:pPr>
      <w:r w:rsidRPr="00AB6BAC">
        <w:rPr>
          <w:rFonts w:asciiTheme="majorBidi" w:eastAsia="Times New Roman" w:hAnsiTheme="majorBidi" w:cstheme="majorBidi"/>
          <w:sz w:val="20"/>
          <w:szCs w:val="20"/>
        </w:rPr>
        <w:lastRenderedPageBreak/>
        <w:t>Table 4. Area under curve for all analyzed Parameters in hypothyroidism</w:t>
      </w:r>
    </w:p>
    <w:tbl>
      <w:tblPr>
        <w:tblStyle w:val="TableGrid19"/>
        <w:tblW w:w="4060" w:type="dxa"/>
        <w:jc w:val="center"/>
        <w:tblLayout w:type="fixed"/>
        <w:tblLook w:val="04A0" w:firstRow="1" w:lastRow="0" w:firstColumn="1" w:lastColumn="0" w:noHBand="0" w:noVBand="1"/>
      </w:tblPr>
      <w:tblGrid>
        <w:gridCol w:w="848"/>
        <w:gridCol w:w="944"/>
        <w:gridCol w:w="283"/>
        <w:gridCol w:w="567"/>
        <w:gridCol w:w="567"/>
        <w:gridCol w:w="567"/>
        <w:gridCol w:w="284"/>
      </w:tblGrid>
      <w:tr w:rsidR="00AB6BAC" w:rsidRPr="003760E2" w14:paraId="2CBEB33E" w14:textId="77777777" w:rsidTr="003760E2">
        <w:trPr>
          <w:jc w:val="center"/>
        </w:trPr>
        <w:tc>
          <w:tcPr>
            <w:tcW w:w="4060" w:type="dxa"/>
            <w:gridSpan w:val="7"/>
            <w:vAlign w:val="center"/>
          </w:tcPr>
          <w:p w14:paraId="585E17AA" w14:textId="77777777" w:rsidR="00AB6BAC" w:rsidRPr="003760E2" w:rsidRDefault="00AB6BAC" w:rsidP="003760E2">
            <w:pPr>
              <w:jc w:val="center"/>
              <w:rPr>
                <w:rFonts w:asciiTheme="majorBidi" w:hAnsiTheme="majorBidi" w:cstheme="majorBidi"/>
                <w:b/>
                <w:bCs/>
                <w:sz w:val="18"/>
                <w:szCs w:val="18"/>
              </w:rPr>
            </w:pPr>
            <w:bookmarkStart w:id="2" w:name="OLE_LINK18"/>
            <w:r w:rsidRPr="003760E2">
              <w:rPr>
                <w:rFonts w:asciiTheme="majorBidi" w:hAnsiTheme="majorBidi" w:cstheme="majorBidi"/>
                <w:b/>
                <w:bCs/>
                <w:sz w:val="18"/>
                <w:szCs w:val="18"/>
              </w:rPr>
              <w:t>Hypothyroidism</w:t>
            </w:r>
            <w:bookmarkEnd w:id="2"/>
          </w:p>
        </w:tc>
      </w:tr>
      <w:tr w:rsidR="00AB6BAC" w:rsidRPr="003760E2" w14:paraId="343A8B1A" w14:textId="77777777" w:rsidTr="003760E2">
        <w:trPr>
          <w:cantSplit/>
          <w:trHeight w:val="1134"/>
          <w:jc w:val="center"/>
        </w:trPr>
        <w:tc>
          <w:tcPr>
            <w:tcW w:w="848" w:type="dxa"/>
            <w:textDirection w:val="btLr"/>
            <w:vAlign w:val="center"/>
          </w:tcPr>
          <w:p w14:paraId="2AEF2D3D" w14:textId="77777777" w:rsidR="00AB6BAC" w:rsidRPr="003760E2" w:rsidRDefault="00AB6BAC" w:rsidP="003760E2">
            <w:pPr>
              <w:ind w:left="113" w:right="113"/>
              <w:jc w:val="center"/>
              <w:rPr>
                <w:rFonts w:asciiTheme="majorBidi" w:hAnsiTheme="majorBidi" w:cstheme="majorBidi"/>
                <w:b/>
                <w:bCs/>
                <w:sz w:val="18"/>
                <w:szCs w:val="18"/>
              </w:rPr>
            </w:pPr>
            <w:bookmarkStart w:id="3" w:name="OLE_LINK15"/>
            <w:r w:rsidRPr="003760E2">
              <w:rPr>
                <w:rFonts w:asciiTheme="majorBidi" w:hAnsiTheme="majorBidi" w:cstheme="majorBidi"/>
                <w:b/>
                <w:bCs/>
                <w:sz w:val="18"/>
                <w:szCs w:val="18"/>
              </w:rPr>
              <w:t>Parameter</w:t>
            </w:r>
          </w:p>
        </w:tc>
        <w:tc>
          <w:tcPr>
            <w:tcW w:w="944" w:type="dxa"/>
            <w:textDirection w:val="btLr"/>
            <w:vAlign w:val="center"/>
          </w:tcPr>
          <w:p w14:paraId="34A73D3A"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Positive if cut-off value</w:t>
            </w:r>
          </w:p>
        </w:tc>
        <w:tc>
          <w:tcPr>
            <w:tcW w:w="283" w:type="dxa"/>
            <w:textDirection w:val="btLr"/>
            <w:vAlign w:val="center"/>
          </w:tcPr>
          <w:p w14:paraId="0EE4992A"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AUC</w:t>
            </w:r>
          </w:p>
        </w:tc>
        <w:tc>
          <w:tcPr>
            <w:tcW w:w="567" w:type="dxa"/>
            <w:textDirection w:val="btLr"/>
            <w:vAlign w:val="center"/>
          </w:tcPr>
          <w:p w14:paraId="72D4917C"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Sensitivity</w:t>
            </w:r>
          </w:p>
          <w:p w14:paraId="68D1EEC3" w14:textId="2EC6F0A4" w:rsidR="00AB6BAC" w:rsidRPr="003760E2" w:rsidRDefault="003760E2" w:rsidP="003760E2">
            <w:pPr>
              <w:ind w:left="113" w:right="113"/>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567" w:type="dxa"/>
            <w:textDirection w:val="btLr"/>
            <w:vAlign w:val="center"/>
          </w:tcPr>
          <w:p w14:paraId="58C19830"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Specificity</w:t>
            </w:r>
          </w:p>
          <w:p w14:paraId="7272F2DB" w14:textId="210A82BF" w:rsidR="00AB6BAC" w:rsidRPr="003760E2" w:rsidRDefault="003760E2" w:rsidP="003760E2">
            <w:pPr>
              <w:ind w:left="113" w:right="113"/>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567" w:type="dxa"/>
            <w:textDirection w:val="btLr"/>
            <w:vAlign w:val="center"/>
          </w:tcPr>
          <w:p w14:paraId="0D210C37" w14:textId="2B469196" w:rsidR="00AB6BAC" w:rsidRPr="003760E2" w:rsidRDefault="003760E2" w:rsidP="003760E2">
            <w:pPr>
              <w:ind w:left="113" w:right="113"/>
              <w:jc w:val="center"/>
              <w:rPr>
                <w:rFonts w:asciiTheme="majorBidi" w:hAnsiTheme="majorBidi" w:cstheme="majorBidi"/>
                <w:b/>
                <w:bCs/>
                <w:sz w:val="18"/>
                <w:szCs w:val="18"/>
              </w:rPr>
            </w:pPr>
            <w:r>
              <w:rPr>
                <w:rFonts w:asciiTheme="majorBidi" w:hAnsiTheme="majorBidi" w:cstheme="majorBidi"/>
                <w:b/>
                <w:bCs/>
                <w:sz w:val="18"/>
                <w:szCs w:val="18"/>
              </w:rPr>
              <w:t>Likelihood Ratio</w:t>
            </w:r>
          </w:p>
        </w:tc>
        <w:tc>
          <w:tcPr>
            <w:tcW w:w="284" w:type="dxa"/>
            <w:textDirection w:val="btLr"/>
            <w:vAlign w:val="center"/>
          </w:tcPr>
          <w:p w14:paraId="47DE3F9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P-value</w:t>
            </w:r>
          </w:p>
        </w:tc>
      </w:tr>
      <w:tr w:rsidR="00AB6BAC" w:rsidRPr="003760E2" w14:paraId="5297DADA" w14:textId="77777777" w:rsidTr="003760E2">
        <w:trPr>
          <w:cantSplit/>
          <w:trHeight w:val="1035"/>
          <w:jc w:val="center"/>
        </w:trPr>
        <w:tc>
          <w:tcPr>
            <w:tcW w:w="848" w:type="dxa"/>
            <w:textDirection w:val="btLr"/>
            <w:vAlign w:val="center"/>
          </w:tcPr>
          <w:p w14:paraId="44F738F7" w14:textId="77777777" w:rsidR="00AB6BAC" w:rsidRPr="003760E2" w:rsidRDefault="00AB6BAC" w:rsidP="003760E2">
            <w:pPr>
              <w:ind w:left="113" w:right="113"/>
              <w:jc w:val="center"/>
              <w:rPr>
                <w:rFonts w:asciiTheme="majorBidi" w:hAnsiTheme="majorBidi" w:cstheme="majorBidi"/>
                <w:b/>
                <w:bCs/>
                <w:sz w:val="18"/>
                <w:szCs w:val="18"/>
                <w:lang w:val="fr-FR" w:bidi="ar-IQ"/>
              </w:rPr>
            </w:pPr>
            <w:proofErr w:type="spellStart"/>
            <w:r w:rsidRPr="003760E2">
              <w:rPr>
                <w:rFonts w:asciiTheme="majorBidi" w:hAnsiTheme="majorBidi" w:cstheme="majorBidi"/>
                <w:b/>
                <w:bCs/>
                <w:sz w:val="18"/>
                <w:szCs w:val="18"/>
                <w:lang w:val="fr-FR" w:bidi="ar-IQ"/>
              </w:rPr>
              <w:t>Neudesin</w:t>
            </w:r>
            <w:proofErr w:type="spellEnd"/>
            <w:r w:rsidRPr="003760E2">
              <w:rPr>
                <w:rFonts w:asciiTheme="majorBidi" w:hAnsiTheme="majorBidi" w:cstheme="majorBidi"/>
                <w:b/>
                <w:bCs/>
                <w:sz w:val="18"/>
                <w:szCs w:val="18"/>
                <w:lang w:val="fr-FR" w:bidi="ar-IQ"/>
              </w:rPr>
              <w:t xml:space="preserve">   </w:t>
            </w:r>
            <w:proofErr w:type="spellStart"/>
            <w:r w:rsidRPr="003760E2">
              <w:rPr>
                <w:rFonts w:asciiTheme="majorBidi" w:hAnsiTheme="majorBidi" w:cstheme="majorBidi"/>
                <w:b/>
                <w:bCs/>
                <w:sz w:val="18"/>
                <w:szCs w:val="18"/>
                <w:lang w:val="fr-FR" w:bidi="ar-IQ"/>
              </w:rPr>
              <w:t>ng</w:t>
            </w:r>
            <w:proofErr w:type="spellEnd"/>
            <w:r w:rsidRPr="003760E2">
              <w:rPr>
                <w:rFonts w:asciiTheme="majorBidi" w:hAnsiTheme="majorBidi" w:cstheme="majorBidi"/>
                <w:b/>
                <w:bCs/>
                <w:sz w:val="18"/>
                <w:szCs w:val="18"/>
                <w:lang w:val="fr-FR" w:bidi="ar-IQ"/>
              </w:rPr>
              <w:t>/</w:t>
            </w:r>
            <w:proofErr w:type="spellStart"/>
            <w:r w:rsidRPr="003760E2">
              <w:rPr>
                <w:rFonts w:asciiTheme="majorBidi" w:hAnsiTheme="majorBidi" w:cstheme="majorBidi"/>
                <w:b/>
                <w:bCs/>
                <w:sz w:val="18"/>
                <w:szCs w:val="18"/>
                <w:lang w:val="fr-FR" w:bidi="ar-IQ"/>
              </w:rPr>
              <w:t>mL</w:t>
            </w:r>
            <w:proofErr w:type="spellEnd"/>
          </w:p>
        </w:tc>
        <w:tc>
          <w:tcPr>
            <w:tcW w:w="944" w:type="dxa"/>
            <w:textDirection w:val="btLr"/>
            <w:vAlign w:val="center"/>
          </w:tcPr>
          <w:p w14:paraId="5B51315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6.008</w:t>
            </w:r>
          </w:p>
        </w:tc>
        <w:tc>
          <w:tcPr>
            <w:tcW w:w="283" w:type="dxa"/>
            <w:textDirection w:val="btLr"/>
            <w:vAlign w:val="center"/>
          </w:tcPr>
          <w:p w14:paraId="54DFFAF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0.8017</w:t>
            </w:r>
          </w:p>
        </w:tc>
        <w:tc>
          <w:tcPr>
            <w:tcW w:w="567" w:type="dxa"/>
            <w:textDirection w:val="btLr"/>
            <w:vAlign w:val="center"/>
          </w:tcPr>
          <w:p w14:paraId="2FAB3CA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78.57</w:t>
            </w:r>
          </w:p>
        </w:tc>
        <w:tc>
          <w:tcPr>
            <w:tcW w:w="567" w:type="dxa"/>
            <w:textDirection w:val="btLr"/>
            <w:vAlign w:val="center"/>
          </w:tcPr>
          <w:p w14:paraId="5741CC1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78.57</w:t>
            </w:r>
          </w:p>
        </w:tc>
        <w:tc>
          <w:tcPr>
            <w:tcW w:w="567" w:type="dxa"/>
            <w:textDirection w:val="btLr"/>
            <w:vAlign w:val="center"/>
          </w:tcPr>
          <w:p w14:paraId="123FAC3C"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3.667</w:t>
            </w:r>
          </w:p>
        </w:tc>
        <w:tc>
          <w:tcPr>
            <w:tcW w:w="284" w:type="dxa"/>
            <w:textDirection w:val="btLr"/>
            <w:vAlign w:val="center"/>
          </w:tcPr>
          <w:p w14:paraId="2FBF2269"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0.0001</w:t>
            </w:r>
          </w:p>
        </w:tc>
      </w:tr>
      <w:tr w:rsidR="00AB6BAC" w:rsidRPr="003760E2" w14:paraId="30841617" w14:textId="77777777" w:rsidTr="003760E2">
        <w:trPr>
          <w:cantSplit/>
          <w:trHeight w:val="895"/>
          <w:jc w:val="center"/>
        </w:trPr>
        <w:tc>
          <w:tcPr>
            <w:tcW w:w="848" w:type="dxa"/>
            <w:textDirection w:val="btLr"/>
            <w:vAlign w:val="center"/>
          </w:tcPr>
          <w:p w14:paraId="26B3CCB1"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T3      </w:t>
            </w:r>
            <w:proofErr w:type="spellStart"/>
            <w:r w:rsidRPr="003760E2">
              <w:rPr>
                <w:rFonts w:asciiTheme="majorBidi" w:hAnsiTheme="majorBidi" w:cstheme="majorBidi"/>
                <w:b/>
                <w:bCs/>
                <w:color w:val="000000"/>
                <w:sz w:val="18"/>
                <w:szCs w:val="18"/>
              </w:rPr>
              <w:t>nmol</w:t>
            </w:r>
            <w:proofErr w:type="spellEnd"/>
            <w:r w:rsidRPr="003760E2">
              <w:rPr>
                <w:rFonts w:asciiTheme="majorBidi" w:hAnsiTheme="majorBidi" w:cstheme="majorBidi"/>
                <w:b/>
                <w:bCs/>
                <w:color w:val="000000"/>
                <w:sz w:val="18"/>
                <w:szCs w:val="18"/>
              </w:rPr>
              <w:t>/L</w:t>
            </w:r>
          </w:p>
        </w:tc>
        <w:tc>
          <w:tcPr>
            <w:tcW w:w="944" w:type="dxa"/>
            <w:textDirection w:val="btLr"/>
            <w:vAlign w:val="center"/>
          </w:tcPr>
          <w:p w14:paraId="5AC0609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1.425</w:t>
            </w:r>
          </w:p>
        </w:tc>
        <w:tc>
          <w:tcPr>
            <w:tcW w:w="283" w:type="dxa"/>
            <w:textDirection w:val="btLr"/>
            <w:vAlign w:val="center"/>
          </w:tcPr>
          <w:p w14:paraId="2145725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0.8578</w:t>
            </w:r>
          </w:p>
        </w:tc>
        <w:tc>
          <w:tcPr>
            <w:tcW w:w="567" w:type="dxa"/>
            <w:textDirection w:val="btLr"/>
            <w:vAlign w:val="center"/>
          </w:tcPr>
          <w:p w14:paraId="0040616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71.43</w:t>
            </w:r>
          </w:p>
        </w:tc>
        <w:tc>
          <w:tcPr>
            <w:tcW w:w="567" w:type="dxa"/>
            <w:textDirection w:val="btLr"/>
            <w:vAlign w:val="center"/>
          </w:tcPr>
          <w:p w14:paraId="40E47DA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75</w:t>
            </w:r>
          </w:p>
        </w:tc>
        <w:tc>
          <w:tcPr>
            <w:tcW w:w="567" w:type="dxa"/>
            <w:textDirection w:val="btLr"/>
            <w:vAlign w:val="center"/>
          </w:tcPr>
          <w:p w14:paraId="18B68C4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2.857</w:t>
            </w:r>
          </w:p>
        </w:tc>
        <w:tc>
          <w:tcPr>
            <w:tcW w:w="284" w:type="dxa"/>
            <w:textDirection w:val="btLr"/>
            <w:vAlign w:val="center"/>
          </w:tcPr>
          <w:p w14:paraId="2E31332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37E400E5" w14:textId="77777777" w:rsidTr="003760E2">
        <w:trPr>
          <w:cantSplit/>
          <w:trHeight w:val="883"/>
          <w:jc w:val="center"/>
        </w:trPr>
        <w:tc>
          <w:tcPr>
            <w:tcW w:w="848" w:type="dxa"/>
            <w:textDirection w:val="btLr"/>
            <w:vAlign w:val="center"/>
          </w:tcPr>
          <w:p w14:paraId="56504FAA"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T4      </w:t>
            </w:r>
            <w:proofErr w:type="spellStart"/>
            <w:r w:rsidRPr="003760E2">
              <w:rPr>
                <w:rFonts w:asciiTheme="majorBidi" w:hAnsiTheme="majorBidi" w:cstheme="majorBidi"/>
                <w:b/>
                <w:bCs/>
                <w:color w:val="000000"/>
                <w:sz w:val="18"/>
                <w:szCs w:val="18"/>
              </w:rPr>
              <w:t>nmol</w:t>
            </w:r>
            <w:proofErr w:type="spellEnd"/>
            <w:r w:rsidRPr="003760E2">
              <w:rPr>
                <w:rFonts w:asciiTheme="majorBidi" w:hAnsiTheme="majorBidi" w:cstheme="majorBidi"/>
                <w:b/>
                <w:bCs/>
                <w:color w:val="000000"/>
                <w:sz w:val="18"/>
                <w:szCs w:val="18"/>
              </w:rPr>
              <w:t>/L</w:t>
            </w:r>
          </w:p>
        </w:tc>
        <w:tc>
          <w:tcPr>
            <w:tcW w:w="944" w:type="dxa"/>
            <w:textDirection w:val="btLr"/>
            <w:vAlign w:val="center"/>
          </w:tcPr>
          <w:p w14:paraId="620D0865"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87.2</w:t>
            </w:r>
          </w:p>
        </w:tc>
        <w:tc>
          <w:tcPr>
            <w:tcW w:w="283" w:type="dxa"/>
            <w:textDirection w:val="btLr"/>
            <w:vAlign w:val="center"/>
          </w:tcPr>
          <w:p w14:paraId="2907EA2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0.9872</w:t>
            </w:r>
          </w:p>
        </w:tc>
        <w:tc>
          <w:tcPr>
            <w:tcW w:w="567" w:type="dxa"/>
            <w:textDirection w:val="btLr"/>
            <w:vAlign w:val="center"/>
          </w:tcPr>
          <w:p w14:paraId="2FAE9D6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92.86</w:t>
            </w:r>
          </w:p>
        </w:tc>
        <w:tc>
          <w:tcPr>
            <w:tcW w:w="567" w:type="dxa"/>
            <w:textDirection w:val="btLr"/>
            <w:vAlign w:val="center"/>
          </w:tcPr>
          <w:p w14:paraId="58D8697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92.86</w:t>
            </w:r>
          </w:p>
        </w:tc>
        <w:tc>
          <w:tcPr>
            <w:tcW w:w="567" w:type="dxa"/>
            <w:textDirection w:val="btLr"/>
            <w:vAlign w:val="center"/>
          </w:tcPr>
          <w:p w14:paraId="0152717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13</w:t>
            </w:r>
          </w:p>
        </w:tc>
        <w:tc>
          <w:tcPr>
            <w:tcW w:w="284" w:type="dxa"/>
            <w:textDirection w:val="btLr"/>
            <w:vAlign w:val="center"/>
          </w:tcPr>
          <w:p w14:paraId="52D7B26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28022960" w14:textId="77777777" w:rsidTr="003760E2">
        <w:trPr>
          <w:cantSplit/>
          <w:trHeight w:val="935"/>
          <w:jc w:val="center"/>
        </w:trPr>
        <w:tc>
          <w:tcPr>
            <w:tcW w:w="848" w:type="dxa"/>
            <w:textDirection w:val="btLr"/>
            <w:vAlign w:val="center"/>
          </w:tcPr>
          <w:p w14:paraId="41033093" w14:textId="79AA22DA"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TSH      </w:t>
            </w:r>
            <w:proofErr w:type="spellStart"/>
            <w:r w:rsidRPr="003760E2">
              <w:rPr>
                <w:rFonts w:asciiTheme="majorBidi" w:hAnsiTheme="majorBidi" w:cstheme="majorBidi"/>
                <w:b/>
                <w:bCs/>
                <w:color w:val="000000"/>
                <w:sz w:val="18"/>
                <w:szCs w:val="18"/>
              </w:rPr>
              <w:t>mIU</w:t>
            </w:r>
            <w:proofErr w:type="spellEnd"/>
            <w:r w:rsidRPr="003760E2">
              <w:rPr>
                <w:rFonts w:asciiTheme="majorBidi" w:hAnsiTheme="majorBidi" w:cstheme="majorBidi"/>
                <w:b/>
                <w:bCs/>
                <w:color w:val="000000"/>
                <w:sz w:val="18"/>
                <w:szCs w:val="18"/>
              </w:rPr>
              <w:t>/ml</w:t>
            </w:r>
          </w:p>
        </w:tc>
        <w:tc>
          <w:tcPr>
            <w:tcW w:w="944" w:type="dxa"/>
            <w:textDirection w:val="btLr"/>
            <w:vAlign w:val="center"/>
          </w:tcPr>
          <w:p w14:paraId="326B5A02"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2.685</w:t>
            </w:r>
          </w:p>
        </w:tc>
        <w:tc>
          <w:tcPr>
            <w:tcW w:w="283" w:type="dxa"/>
            <w:textDirection w:val="btLr"/>
            <w:vAlign w:val="center"/>
          </w:tcPr>
          <w:p w14:paraId="5B68DA10"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0.9847</w:t>
            </w:r>
          </w:p>
        </w:tc>
        <w:tc>
          <w:tcPr>
            <w:tcW w:w="567" w:type="dxa"/>
            <w:textDirection w:val="btLr"/>
            <w:vAlign w:val="center"/>
          </w:tcPr>
          <w:p w14:paraId="608281C2"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96.43</w:t>
            </w:r>
          </w:p>
        </w:tc>
        <w:tc>
          <w:tcPr>
            <w:tcW w:w="567" w:type="dxa"/>
            <w:textDirection w:val="btLr"/>
            <w:vAlign w:val="center"/>
          </w:tcPr>
          <w:p w14:paraId="09B8E98A"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96.43</w:t>
            </w:r>
          </w:p>
        </w:tc>
        <w:tc>
          <w:tcPr>
            <w:tcW w:w="567" w:type="dxa"/>
            <w:textDirection w:val="btLr"/>
            <w:vAlign w:val="center"/>
          </w:tcPr>
          <w:p w14:paraId="15E4027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27</w:t>
            </w:r>
          </w:p>
        </w:tc>
        <w:tc>
          <w:tcPr>
            <w:tcW w:w="284" w:type="dxa"/>
            <w:textDirection w:val="btLr"/>
            <w:vAlign w:val="center"/>
          </w:tcPr>
          <w:p w14:paraId="6740477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4E07F57C" w14:textId="77777777" w:rsidTr="003760E2">
        <w:trPr>
          <w:cantSplit/>
          <w:trHeight w:val="977"/>
          <w:jc w:val="center"/>
        </w:trPr>
        <w:tc>
          <w:tcPr>
            <w:tcW w:w="848" w:type="dxa"/>
            <w:textDirection w:val="btLr"/>
            <w:vAlign w:val="center"/>
          </w:tcPr>
          <w:p w14:paraId="75FA017E"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 Cho.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944" w:type="dxa"/>
            <w:textDirection w:val="btLr"/>
            <w:vAlign w:val="center"/>
          </w:tcPr>
          <w:p w14:paraId="131832C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164.5</w:t>
            </w:r>
          </w:p>
        </w:tc>
        <w:tc>
          <w:tcPr>
            <w:tcW w:w="283" w:type="dxa"/>
            <w:textDirection w:val="btLr"/>
            <w:vAlign w:val="center"/>
          </w:tcPr>
          <w:p w14:paraId="22604393"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0.9094</w:t>
            </w:r>
          </w:p>
        </w:tc>
        <w:tc>
          <w:tcPr>
            <w:tcW w:w="567" w:type="dxa"/>
            <w:textDirection w:val="btLr"/>
            <w:vAlign w:val="center"/>
          </w:tcPr>
          <w:p w14:paraId="620D24FC"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82.14</w:t>
            </w:r>
          </w:p>
        </w:tc>
        <w:tc>
          <w:tcPr>
            <w:tcW w:w="567" w:type="dxa"/>
            <w:textDirection w:val="btLr"/>
            <w:vAlign w:val="center"/>
          </w:tcPr>
          <w:p w14:paraId="2D50B56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82.14</w:t>
            </w:r>
          </w:p>
        </w:tc>
        <w:tc>
          <w:tcPr>
            <w:tcW w:w="567" w:type="dxa"/>
            <w:textDirection w:val="btLr"/>
            <w:vAlign w:val="center"/>
          </w:tcPr>
          <w:p w14:paraId="0C4D2DA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4.6</w:t>
            </w:r>
          </w:p>
        </w:tc>
        <w:tc>
          <w:tcPr>
            <w:tcW w:w="284" w:type="dxa"/>
            <w:textDirection w:val="btLr"/>
            <w:vAlign w:val="center"/>
          </w:tcPr>
          <w:p w14:paraId="07DD40B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5DCB46DD" w14:textId="77777777" w:rsidTr="003760E2">
        <w:trPr>
          <w:cantSplit/>
          <w:trHeight w:val="840"/>
          <w:jc w:val="center"/>
        </w:trPr>
        <w:tc>
          <w:tcPr>
            <w:tcW w:w="848" w:type="dxa"/>
            <w:textDirection w:val="btLr"/>
            <w:vAlign w:val="center"/>
          </w:tcPr>
          <w:p w14:paraId="22616373"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TGs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944" w:type="dxa"/>
            <w:textDirection w:val="btLr"/>
            <w:vAlign w:val="center"/>
          </w:tcPr>
          <w:p w14:paraId="0D30FE9C"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148</w:t>
            </w:r>
          </w:p>
        </w:tc>
        <w:tc>
          <w:tcPr>
            <w:tcW w:w="283" w:type="dxa"/>
            <w:textDirection w:val="btLr"/>
            <w:vAlign w:val="center"/>
          </w:tcPr>
          <w:p w14:paraId="2BA4534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0.9445</w:t>
            </w:r>
          </w:p>
        </w:tc>
        <w:tc>
          <w:tcPr>
            <w:tcW w:w="567" w:type="dxa"/>
            <w:textDirection w:val="btLr"/>
            <w:vAlign w:val="center"/>
          </w:tcPr>
          <w:p w14:paraId="5A1AC160"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82.14</w:t>
            </w:r>
          </w:p>
        </w:tc>
        <w:tc>
          <w:tcPr>
            <w:tcW w:w="567" w:type="dxa"/>
            <w:textDirection w:val="btLr"/>
            <w:vAlign w:val="center"/>
          </w:tcPr>
          <w:p w14:paraId="4F7954C5"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75</w:t>
            </w:r>
          </w:p>
        </w:tc>
        <w:tc>
          <w:tcPr>
            <w:tcW w:w="567" w:type="dxa"/>
            <w:textDirection w:val="btLr"/>
            <w:vAlign w:val="center"/>
          </w:tcPr>
          <w:p w14:paraId="7CB5DBA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3.286</w:t>
            </w:r>
          </w:p>
        </w:tc>
        <w:tc>
          <w:tcPr>
            <w:tcW w:w="284" w:type="dxa"/>
            <w:textDirection w:val="btLr"/>
            <w:vAlign w:val="center"/>
          </w:tcPr>
          <w:p w14:paraId="67B9CBC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5A8D5EA8" w14:textId="77777777" w:rsidTr="003760E2">
        <w:trPr>
          <w:cantSplit/>
          <w:trHeight w:val="837"/>
          <w:jc w:val="center"/>
        </w:trPr>
        <w:tc>
          <w:tcPr>
            <w:tcW w:w="848" w:type="dxa"/>
            <w:textDirection w:val="btLr"/>
            <w:vAlign w:val="center"/>
          </w:tcPr>
          <w:p w14:paraId="5A6A879E"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HDL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944" w:type="dxa"/>
            <w:textDirection w:val="btLr"/>
            <w:vAlign w:val="center"/>
          </w:tcPr>
          <w:p w14:paraId="43E1917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42.5</w:t>
            </w:r>
          </w:p>
        </w:tc>
        <w:tc>
          <w:tcPr>
            <w:tcW w:w="283" w:type="dxa"/>
            <w:textDirection w:val="btLr"/>
            <w:vAlign w:val="center"/>
          </w:tcPr>
          <w:p w14:paraId="3F974120"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0.6773</w:t>
            </w:r>
          </w:p>
        </w:tc>
        <w:tc>
          <w:tcPr>
            <w:tcW w:w="567" w:type="dxa"/>
            <w:textDirection w:val="btLr"/>
            <w:vAlign w:val="center"/>
          </w:tcPr>
          <w:p w14:paraId="28AA44D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60.71</w:t>
            </w:r>
          </w:p>
        </w:tc>
        <w:tc>
          <w:tcPr>
            <w:tcW w:w="567" w:type="dxa"/>
            <w:textDirection w:val="btLr"/>
            <w:vAlign w:val="center"/>
          </w:tcPr>
          <w:p w14:paraId="27209CC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64.29</w:t>
            </w:r>
          </w:p>
        </w:tc>
        <w:tc>
          <w:tcPr>
            <w:tcW w:w="567" w:type="dxa"/>
            <w:textDirection w:val="btLr"/>
            <w:vAlign w:val="center"/>
          </w:tcPr>
          <w:p w14:paraId="292AD3C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1.7</w:t>
            </w:r>
          </w:p>
        </w:tc>
        <w:tc>
          <w:tcPr>
            <w:tcW w:w="284" w:type="dxa"/>
            <w:textDirection w:val="btLr"/>
            <w:vAlign w:val="center"/>
          </w:tcPr>
          <w:p w14:paraId="6B0C8669"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0.0227</w:t>
            </w:r>
          </w:p>
        </w:tc>
      </w:tr>
      <w:tr w:rsidR="00AB6BAC" w:rsidRPr="003760E2" w14:paraId="75E6E8AB" w14:textId="77777777" w:rsidTr="003760E2">
        <w:trPr>
          <w:cantSplit/>
          <w:trHeight w:val="991"/>
          <w:jc w:val="center"/>
        </w:trPr>
        <w:tc>
          <w:tcPr>
            <w:tcW w:w="848" w:type="dxa"/>
            <w:textDirection w:val="btLr"/>
            <w:vAlign w:val="center"/>
          </w:tcPr>
          <w:p w14:paraId="7C753E40"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LDL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944" w:type="dxa"/>
            <w:textDirection w:val="btLr"/>
            <w:vAlign w:val="center"/>
          </w:tcPr>
          <w:p w14:paraId="38E21AA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86.1</w:t>
            </w:r>
          </w:p>
        </w:tc>
        <w:tc>
          <w:tcPr>
            <w:tcW w:w="283" w:type="dxa"/>
            <w:textDirection w:val="btLr"/>
            <w:vAlign w:val="center"/>
          </w:tcPr>
          <w:p w14:paraId="552661B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0.8724</w:t>
            </w:r>
          </w:p>
        </w:tc>
        <w:tc>
          <w:tcPr>
            <w:tcW w:w="567" w:type="dxa"/>
            <w:textDirection w:val="btLr"/>
            <w:vAlign w:val="center"/>
          </w:tcPr>
          <w:p w14:paraId="3C80C2B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78.57</w:t>
            </w:r>
          </w:p>
        </w:tc>
        <w:tc>
          <w:tcPr>
            <w:tcW w:w="567" w:type="dxa"/>
            <w:textDirection w:val="btLr"/>
            <w:vAlign w:val="center"/>
          </w:tcPr>
          <w:p w14:paraId="32BBAB25"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78.57</w:t>
            </w:r>
          </w:p>
        </w:tc>
        <w:tc>
          <w:tcPr>
            <w:tcW w:w="567" w:type="dxa"/>
            <w:textDirection w:val="btLr"/>
            <w:vAlign w:val="center"/>
          </w:tcPr>
          <w:p w14:paraId="64A1862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3.667</w:t>
            </w:r>
          </w:p>
        </w:tc>
        <w:tc>
          <w:tcPr>
            <w:tcW w:w="284" w:type="dxa"/>
            <w:textDirection w:val="btLr"/>
            <w:vAlign w:val="center"/>
          </w:tcPr>
          <w:p w14:paraId="23A46C99"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454E358C" w14:textId="77777777" w:rsidTr="003760E2">
        <w:trPr>
          <w:cantSplit/>
          <w:trHeight w:val="963"/>
          <w:jc w:val="center"/>
        </w:trPr>
        <w:tc>
          <w:tcPr>
            <w:tcW w:w="848" w:type="dxa"/>
            <w:textDirection w:val="btLr"/>
            <w:vAlign w:val="center"/>
          </w:tcPr>
          <w:p w14:paraId="3678E614"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VLDL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944" w:type="dxa"/>
            <w:textDirection w:val="btLr"/>
            <w:vAlign w:val="center"/>
          </w:tcPr>
          <w:p w14:paraId="571F4DC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29.6</w:t>
            </w:r>
          </w:p>
        </w:tc>
        <w:tc>
          <w:tcPr>
            <w:tcW w:w="283" w:type="dxa"/>
            <w:textDirection w:val="btLr"/>
            <w:vAlign w:val="center"/>
          </w:tcPr>
          <w:p w14:paraId="66F7B43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0.9425</w:t>
            </w:r>
          </w:p>
        </w:tc>
        <w:tc>
          <w:tcPr>
            <w:tcW w:w="567" w:type="dxa"/>
            <w:textDirection w:val="btLr"/>
            <w:vAlign w:val="center"/>
          </w:tcPr>
          <w:p w14:paraId="47C8A10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81.48</w:t>
            </w:r>
          </w:p>
        </w:tc>
        <w:tc>
          <w:tcPr>
            <w:tcW w:w="567" w:type="dxa"/>
            <w:textDirection w:val="btLr"/>
            <w:vAlign w:val="center"/>
          </w:tcPr>
          <w:p w14:paraId="76D6729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75</w:t>
            </w:r>
          </w:p>
        </w:tc>
        <w:tc>
          <w:tcPr>
            <w:tcW w:w="567" w:type="dxa"/>
            <w:textDirection w:val="btLr"/>
            <w:vAlign w:val="center"/>
          </w:tcPr>
          <w:p w14:paraId="1BF6FE0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3.259</w:t>
            </w:r>
          </w:p>
        </w:tc>
        <w:tc>
          <w:tcPr>
            <w:tcW w:w="284" w:type="dxa"/>
            <w:textDirection w:val="btLr"/>
            <w:vAlign w:val="center"/>
          </w:tcPr>
          <w:p w14:paraId="6D7BE6B2"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bl>
    <w:bookmarkEnd w:id="3"/>
    <w:p w14:paraId="35F69348" w14:textId="6CF4A332" w:rsidR="00AD204F" w:rsidRPr="00AB6BAC" w:rsidRDefault="00AB6BAC" w:rsidP="00AB6BAC">
      <w:pPr>
        <w:autoSpaceDE w:val="0"/>
        <w:autoSpaceDN w:val="0"/>
        <w:adjustRightInd w:val="0"/>
        <w:jc w:val="center"/>
        <w:rPr>
          <w:rFonts w:asciiTheme="majorBidi" w:hAnsiTheme="majorBidi" w:cstheme="majorBidi"/>
          <w:sz w:val="20"/>
          <w:szCs w:val="20"/>
          <w:rtl/>
        </w:rPr>
      </w:pPr>
      <w:r w:rsidRPr="00AB6BAC">
        <w:rPr>
          <w:rFonts w:asciiTheme="majorBidi" w:hAnsiTheme="majorBidi" w:cstheme="majorBidi"/>
          <w:sz w:val="20"/>
          <w:szCs w:val="20"/>
        </w:rPr>
        <w:t>Table 5. Area under curve for all analyzed Parameters in hyperthyroidism</w:t>
      </w:r>
    </w:p>
    <w:tbl>
      <w:tblPr>
        <w:tblStyle w:val="TableGrid18"/>
        <w:tblW w:w="3123" w:type="dxa"/>
        <w:jc w:val="center"/>
        <w:tblLayout w:type="fixed"/>
        <w:tblLook w:val="04A0" w:firstRow="1" w:lastRow="0" w:firstColumn="1" w:lastColumn="0" w:noHBand="0" w:noVBand="1"/>
      </w:tblPr>
      <w:tblGrid>
        <w:gridCol w:w="811"/>
        <w:gridCol w:w="895"/>
        <w:gridCol w:w="283"/>
        <w:gridCol w:w="284"/>
        <w:gridCol w:w="283"/>
        <w:gridCol w:w="284"/>
        <w:gridCol w:w="283"/>
      </w:tblGrid>
      <w:tr w:rsidR="00AB6BAC" w:rsidRPr="003760E2" w14:paraId="1B40B063" w14:textId="77777777" w:rsidTr="003760E2">
        <w:trPr>
          <w:trHeight w:val="313"/>
          <w:jc w:val="center"/>
        </w:trPr>
        <w:tc>
          <w:tcPr>
            <w:tcW w:w="3123" w:type="dxa"/>
            <w:gridSpan w:val="7"/>
            <w:vAlign w:val="center"/>
          </w:tcPr>
          <w:p w14:paraId="3E8F51C4" w14:textId="77777777" w:rsidR="00AB6BAC" w:rsidRPr="003760E2" w:rsidRDefault="00AB6BAC" w:rsidP="003760E2">
            <w:pPr>
              <w:jc w:val="center"/>
              <w:rPr>
                <w:rFonts w:asciiTheme="majorBidi" w:hAnsiTheme="majorBidi" w:cstheme="majorBidi"/>
                <w:b/>
                <w:bCs/>
                <w:sz w:val="18"/>
                <w:szCs w:val="18"/>
              </w:rPr>
            </w:pPr>
            <w:r w:rsidRPr="003760E2">
              <w:rPr>
                <w:rFonts w:asciiTheme="majorBidi" w:hAnsiTheme="majorBidi" w:cstheme="majorBidi"/>
                <w:b/>
                <w:bCs/>
                <w:sz w:val="18"/>
                <w:szCs w:val="18"/>
              </w:rPr>
              <w:t>Hyperthyroidism</w:t>
            </w:r>
          </w:p>
        </w:tc>
      </w:tr>
      <w:tr w:rsidR="00AB6BAC" w:rsidRPr="003760E2" w14:paraId="62BB2A54" w14:textId="77777777" w:rsidTr="003760E2">
        <w:trPr>
          <w:cantSplit/>
          <w:trHeight w:val="1187"/>
          <w:jc w:val="center"/>
        </w:trPr>
        <w:tc>
          <w:tcPr>
            <w:tcW w:w="811" w:type="dxa"/>
            <w:textDirection w:val="btLr"/>
            <w:vAlign w:val="center"/>
          </w:tcPr>
          <w:p w14:paraId="1BBB73D3"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Parameter</w:t>
            </w:r>
          </w:p>
        </w:tc>
        <w:tc>
          <w:tcPr>
            <w:tcW w:w="895" w:type="dxa"/>
            <w:textDirection w:val="btLr"/>
            <w:vAlign w:val="center"/>
          </w:tcPr>
          <w:p w14:paraId="01571F6D"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Positive if cut-off value</w:t>
            </w:r>
          </w:p>
        </w:tc>
        <w:tc>
          <w:tcPr>
            <w:tcW w:w="283" w:type="dxa"/>
            <w:textDirection w:val="btLr"/>
            <w:vAlign w:val="center"/>
          </w:tcPr>
          <w:p w14:paraId="065D4DC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AUC</w:t>
            </w:r>
          </w:p>
        </w:tc>
        <w:tc>
          <w:tcPr>
            <w:tcW w:w="284" w:type="dxa"/>
            <w:textDirection w:val="btLr"/>
            <w:vAlign w:val="center"/>
          </w:tcPr>
          <w:p w14:paraId="3FBFDDC6" w14:textId="3B4F3A72" w:rsidR="00AB6BAC" w:rsidRPr="003760E2" w:rsidRDefault="003760E2" w:rsidP="003760E2">
            <w:pPr>
              <w:ind w:left="113" w:right="113"/>
              <w:jc w:val="center"/>
              <w:rPr>
                <w:rFonts w:asciiTheme="majorBidi" w:hAnsiTheme="majorBidi" w:cstheme="majorBidi"/>
                <w:b/>
                <w:bCs/>
                <w:color w:val="000000"/>
                <w:sz w:val="18"/>
                <w:szCs w:val="18"/>
              </w:rPr>
            </w:pPr>
            <w:proofErr w:type="spellStart"/>
            <w:r>
              <w:rPr>
                <w:rFonts w:asciiTheme="majorBidi" w:hAnsiTheme="majorBidi" w:cstheme="majorBidi"/>
                <w:b/>
                <w:bCs/>
                <w:color w:val="000000"/>
                <w:sz w:val="18"/>
                <w:szCs w:val="18"/>
              </w:rPr>
              <w:t>Sen</w:t>
            </w:r>
            <w:proofErr w:type="spellEnd"/>
            <w:r>
              <w:rPr>
                <w:rFonts w:asciiTheme="majorBidi" w:hAnsiTheme="majorBidi" w:cstheme="majorBidi"/>
                <w:b/>
                <w:bCs/>
                <w:color w:val="000000"/>
                <w:sz w:val="18"/>
                <w:szCs w:val="18"/>
              </w:rPr>
              <w:t>%</w:t>
            </w:r>
          </w:p>
        </w:tc>
        <w:tc>
          <w:tcPr>
            <w:tcW w:w="283" w:type="dxa"/>
            <w:textDirection w:val="btLr"/>
            <w:vAlign w:val="center"/>
          </w:tcPr>
          <w:p w14:paraId="60C36641" w14:textId="3B5D0D73"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S</w:t>
            </w:r>
            <w:r w:rsidR="003760E2">
              <w:rPr>
                <w:rFonts w:asciiTheme="majorBidi" w:hAnsiTheme="majorBidi" w:cstheme="majorBidi"/>
                <w:b/>
                <w:bCs/>
                <w:color w:val="000000"/>
                <w:sz w:val="18"/>
                <w:szCs w:val="18"/>
              </w:rPr>
              <w:t>pec%</w:t>
            </w:r>
          </w:p>
        </w:tc>
        <w:tc>
          <w:tcPr>
            <w:tcW w:w="284" w:type="dxa"/>
            <w:textDirection w:val="btLr"/>
            <w:vAlign w:val="center"/>
          </w:tcPr>
          <w:p w14:paraId="238A1866" w14:textId="7BD9CCE4" w:rsidR="00AB6BAC" w:rsidRPr="003760E2" w:rsidRDefault="003760E2" w:rsidP="003760E2">
            <w:pPr>
              <w:ind w:left="113" w:right="113"/>
              <w:jc w:val="center"/>
              <w:rPr>
                <w:rFonts w:asciiTheme="majorBidi" w:hAnsiTheme="majorBidi" w:cstheme="majorBidi"/>
                <w:b/>
                <w:bCs/>
                <w:sz w:val="18"/>
                <w:szCs w:val="18"/>
              </w:rPr>
            </w:pPr>
            <w:r>
              <w:rPr>
                <w:rFonts w:asciiTheme="majorBidi" w:hAnsiTheme="majorBidi" w:cstheme="majorBidi"/>
                <w:b/>
                <w:bCs/>
                <w:sz w:val="18"/>
                <w:szCs w:val="18"/>
              </w:rPr>
              <w:t>LHR</w:t>
            </w:r>
          </w:p>
        </w:tc>
        <w:tc>
          <w:tcPr>
            <w:tcW w:w="283" w:type="dxa"/>
            <w:textDirection w:val="btLr"/>
            <w:vAlign w:val="center"/>
          </w:tcPr>
          <w:p w14:paraId="03D6CE7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P-value</w:t>
            </w:r>
          </w:p>
        </w:tc>
      </w:tr>
      <w:tr w:rsidR="00AB6BAC" w:rsidRPr="003760E2" w14:paraId="700FAE93" w14:textId="77777777" w:rsidTr="003760E2">
        <w:trPr>
          <w:cantSplit/>
          <w:trHeight w:val="977"/>
          <w:jc w:val="center"/>
        </w:trPr>
        <w:tc>
          <w:tcPr>
            <w:tcW w:w="811" w:type="dxa"/>
            <w:textDirection w:val="btLr"/>
            <w:vAlign w:val="center"/>
          </w:tcPr>
          <w:p w14:paraId="4153D1D3" w14:textId="77777777" w:rsidR="00AB6BAC" w:rsidRPr="003760E2" w:rsidRDefault="00AB6BAC" w:rsidP="003760E2">
            <w:pPr>
              <w:ind w:left="113" w:right="113"/>
              <w:jc w:val="center"/>
              <w:rPr>
                <w:rFonts w:asciiTheme="majorBidi" w:hAnsiTheme="majorBidi" w:cstheme="majorBidi"/>
                <w:b/>
                <w:bCs/>
                <w:sz w:val="18"/>
                <w:szCs w:val="18"/>
                <w:lang w:val="fr-FR" w:bidi="ar-IQ"/>
              </w:rPr>
            </w:pPr>
            <w:proofErr w:type="spellStart"/>
            <w:r w:rsidRPr="003760E2">
              <w:rPr>
                <w:rFonts w:asciiTheme="majorBidi" w:hAnsiTheme="majorBidi" w:cstheme="majorBidi"/>
                <w:b/>
                <w:bCs/>
                <w:sz w:val="18"/>
                <w:szCs w:val="18"/>
                <w:lang w:val="fr-FR" w:bidi="ar-IQ"/>
              </w:rPr>
              <w:t>Neudesin</w:t>
            </w:r>
            <w:proofErr w:type="spellEnd"/>
            <w:r w:rsidRPr="003760E2">
              <w:rPr>
                <w:rFonts w:asciiTheme="majorBidi" w:hAnsiTheme="majorBidi" w:cstheme="majorBidi"/>
                <w:b/>
                <w:bCs/>
                <w:sz w:val="18"/>
                <w:szCs w:val="18"/>
                <w:lang w:val="fr-FR" w:bidi="ar-IQ"/>
              </w:rPr>
              <w:t xml:space="preserve">   </w:t>
            </w:r>
            <w:proofErr w:type="spellStart"/>
            <w:r w:rsidRPr="003760E2">
              <w:rPr>
                <w:rFonts w:asciiTheme="majorBidi" w:hAnsiTheme="majorBidi" w:cstheme="majorBidi"/>
                <w:b/>
                <w:bCs/>
                <w:sz w:val="18"/>
                <w:szCs w:val="18"/>
                <w:lang w:val="fr-FR" w:bidi="ar-IQ"/>
              </w:rPr>
              <w:t>ng</w:t>
            </w:r>
            <w:proofErr w:type="spellEnd"/>
            <w:r w:rsidRPr="003760E2">
              <w:rPr>
                <w:rFonts w:asciiTheme="majorBidi" w:hAnsiTheme="majorBidi" w:cstheme="majorBidi"/>
                <w:b/>
                <w:bCs/>
                <w:sz w:val="18"/>
                <w:szCs w:val="18"/>
                <w:lang w:val="fr-FR" w:bidi="ar-IQ"/>
              </w:rPr>
              <w:t>/</w:t>
            </w:r>
            <w:r w:rsidRPr="003760E2">
              <w:rPr>
                <w:rFonts w:asciiTheme="majorBidi" w:hAnsiTheme="majorBidi" w:cstheme="majorBidi"/>
                <w:b/>
                <w:bCs/>
                <w:sz w:val="18"/>
                <w:szCs w:val="18"/>
                <w:lang w:bidi="ar-IQ"/>
              </w:rPr>
              <w:t>m</w:t>
            </w:r>
            <w:r w:rsidRPr="003760E2">
              <w:rPr>
                <w:rFonts w:asciiTheme="majorBidi" w:hAnsiTheme="majorBidi" w:cstheme="majorBidi"/>
                <w:b/>
                <w:bCs/>
                <w:sz w:val="18"/>
                <w:szCs w:val="18"/>
                <w:lang w:val="fr-FR" w:bidi="ar-IQ"/>
              </w:rPr>
              <w:t>L</w:t>
            </w:r>
          </w:p>
        </w:tc>
        <w:tc>
          <w:tcPr>
            <w:tcW w:w="895" w:type="dxa"/>
            <w:textDirection w:val="btLr"/>
            <w:vAlign w:val="center"/>
          </w:tcPr>
          <w:p w14:paraId="47A5686A"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5.87</w:t>
            </w:r>
          </w:p>
        </w:tc>
        <w:tc>
          <w:tcPr>
            <w:tcW w:w="283" w:type="dxa"/>
            <w:textDirection w:val="btLr"/>
            <w:vAlign w:val="center"/>
          </w:tcPr>
          <w:p w14:paraId="2FA37F6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0.9043</w:t>
            </w:r>
          </w:p>
        </w:tc>
        <w:tc>
          <w:tcPr>
            <w:tcW w:w="284" w:type="dxa"/>
            <w:textDirection w:val="btLr"/>
            <w:vAlign w:val="center"/>
          </w:tcPr>
          <w:p w14:paraId="2E5B648A"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82.14</w:t>
            </w:r>
          </w:p>
        </w:tc>
        <w:tc>
          <w:tcPr>
            <w:tcW w:w="283" w:type="dxa"/>
            <w:textDirection w:val="btLr"/>
            <w:vAlign w:val="center"/>
          </w:tcPr>
          <w:p w14:paraId="032CDEF9"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82.14</w:t>
            </w:r>
          </w:p>
        </w:tc>
        <w:tc>
          <w:tcPr>
            <w:tcW w:w="284" w:type="dxa"/>
            <w:textDirection w:val="btLr"/>
            <w:vAlign w:val="center"/>
          </w:tcPr>
          <w:p w14:paraId="6B72ABF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4.6</w:t>
            </w:r>
          </w:p>
        </w:tc>
        <w:tc>
          <w:tcPr>
            <w:tcW w:w="283" w:type="dxa"/>
            <w:textDirection w:val="btLr"/>
            <w:vAlign w:val="center"/>
          </w:tcPr>
          <w:p w14:paraId="293BA402"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54DC526C" w14:textId="77777777" w:rsidTr="003760E2">
        <w:trPr>
          <w:cantSplit/>
          <w:trHeight w:val="835"/>
          <w:jc w:val="center"/>
        </w:trPr>
        <w:tc>
          <w:tcPr>
            <w:tcW w:w="811" w:type="dxa"/>
            <w:textDirection w:val="btLr"/>
            <w:vAlign w:val="center"/>
          </w:tcPr>
          <w:p w14:paraId="24A9330B"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lastRenderedPageBreak/>
              <w:t xml:space="preserve">T3      </w:t>
            </w:r>
            <w:proofErr w:type="spellStart"/>
            <w:r w:rsidRPr="003760E2">
              <w:rPr>
                <w:rFonts w:asciiTheme="majorBidi" w:hAnsiTheme="majorBidi" w:cstheme="majorBidi"/>
                <w:b/>
                <w:bCs/>
                <w:color w:val="000000"/>
                <w:sz w:val="18"/>
                <w:szCs w:val="18"/>
              </w:rPr>
              <w:t>nmol</w:t>
            </w:r>
            <w:proofErr w:type="spellEnd"/>
            <w:r w:rsidRPr="003760E2">
              <w:rPr>
                <w:rFonts w:asciiTheme="majorBidi" w:hAnsiTheme="majorBidi" w:cstheme="majorBidi"/>
                <w:b/>
                <w:bCs/>
                <w:color w:val="000000"/>
                <w:sz w:val="18"/>
                <w:szCs w:val="18"/>
              </w:rPr>
              <w:t>/L</w:t>
            </w:r>
          </w:p>
        </w:tc>
        <w:tc>
          <w:tcPr>
            <w:tcW w:w="895" w:type="dxa"/>
            <w:textDirection w:val="btLr"/>
            <w:vAlign w:val="center"/>
          </w:tcPr>
          <w:p w14:paraId="0A17E75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2.22</w:t>
            </w:r>
          </w:p>
        </w:tc>
        <w:tc>
          <w:tcPr>
            <w:tcW w:w="283" w:type="dxa"/>
            <w:textDirection w:val="btLr"/>
            <w:vAlign w:val="center"/>
          </w:tcPr>
          <w:p w14:paraId="5213C7BB"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w:t>
            </w:r>
          </w:p>
        </w:tc>
        <w:tc>
          <w:tcPr>
            <w:tcW w:w="284" w:type="dxa"/>
            <w:textDirection w:val="btLr"/>
            <w:vAlign w:val="center"/>
          </w:tcPr>
          <w:p w14:paraId="5BE22ED1"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100</w:t>
            </w:r>
          </w:p>
        </w:tc>
        <w:tc>
          <w:tcPr>
            <w:tcW w:w="283" w:type="dxa"/>
            <w:textDirection w:val="btLr"/>
            <w:vAlign w:val="center"/>
          </w:tcPr>
          <w:p w14:paraId="0F2AF89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100</w:t>
            </w:r>
          </w:p>
        </w:tc>
        <w:tc>
          <w:tcPr>
            <w:tcW w:w="284" w:type="dxa"/>
            <w:textDirection w:val="btLr"/>
            <w:vAlign w:val="center"/>
          </w:tcPr>
          <w:p w14:paraId="7E90A66D" w14:textId="77777777" w:rsidR="00AB6BAC" w:rsidRPr="003760E2" w:rsidRDefault="00AB6BAC" w:rsidP="003760E2">
            <w:pPr>
              <w:ind w:left="113" w:right="113"/>
              <w:jc w:val="center"/>
              <w:rPr>
                <w:rFonts w:asciiTheme="majorBidi" w:hAnsiTheme="majorBidi" w:cstheme="majorBidi"/>
                <w:b/>
                <w:bCs/>
                <w:sz w:val="18"/>
                <w:szCs w:val="18"/>
              </w:rPr>
            </w:pPr>
          </w:p>
        </w:tc>
        <w:tc>
          <w:tcPr>
            <w:tcW w:w="283" w:type="dxa"/>
            <w:textDirection w:val="btLr"/>
            <w:vAlign w:val="center"/>
          </w:tcPr>
          <w:p w14:paraId="0E4DAC6C"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18518DEA" w14:textId="77777777" w:rsidTr="003760E2">
        <w:trPr>
          <w:cantSplit/>
          <w:trHeight w:val="848"/>
          <w:jc w:val="center"/>
        </w:trPr>
        <w:tc>
          <w:tcPr>
            <w:tcW w:w="811" w:type="dxa"/>
            <w:textDirection w:val="btLr"/>
            <w:vAlign w:val="center"/>
          </w:tcPr>
          <w:p w14:paraId="2352D300"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T4      </w:t>
            </w:r>
            <w:proofErr w:type="spellStart"/>
            <w:r w:rsidRPr="003760E2">
              <w:rPr>
                <w:rFonts w:asciiTheme="majorBidi" w:hAnsiTheme="majorBidi" w:cstheme="majorBidi"/>
                <w:b/>
                <w:bCs/>
                <w:color w:val="000000"/>
                <w:sz w:val="18"/>
                <w:szCs w:val="18"/>
              </w:rPr>
              <w:t>nmol</w:t>
            </w:r>
            <w:proofErr w:type="spellEnd"/>
            <w:r w:rsidRPr="003760E2">
              <w:rPr>
                <w:rFonts w:asciiTheme="majorBidi" w:hAnsiTheme="majorBidi" w:cstheme="majorBidi"/>
                <w:b/>
                <w:bCs/>
                <w:color w:val="000000"/>
                <w:sz w:val="18"/>
                <w:szCs w:val="18"/>
              </w:rPr>
              <w:t>/L</w:t>
            </w:r>
          </w:p>
        </w:tc>
        <w:tc>
          <w:tcPr>
            <w:tcW w:w="895" w:type="dxa"/>
            <w:textDirection w:val="btLr"/>
            <w:vAlign w:val="center"/>
          </w:tcPr>
          <w:p w14:paraId="3B7571B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106.9</w:t>
            </w:r>
          </w:p>
        </w:tc>
        <w:tc>
          <w:tcPr>
            <w:tcW w:w="283" w:type="dxa"/>
            <w:textDirection w:val="btLr"/>
            <w:vAlign w:val="center"/>
          </w:tcPr>
          <w:p w14:paraId="2397E3E7"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w:t>
            </w:r>
          </w:p>
        </w:tc>
        <w:tc>
          <w:tcPr>
            <w:tcW w:w="284" w:type="dxa"/>
            <w:textDirection w:val="btLr"/>
            <w:vAlign w:val="center"/>
          </w:tcPr>
          <w:p w14:paraId="150EE2C5"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100</w:t>
            </w:r>
          </w:p>
        </w:tc>
        <w:tc>
          <w:tcPr>
            <w:tcW w:w="283" w:type="dxa"/>
            <w:textDirection w:val="btLr"/>
            <w:vAlign w:val="center"/>
          </w:tcPr>
          <w:p w14:paraId="771E6ED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100</w:t>
            </w:r>
          </w:p>
        </w:tc>
        <w:tc>
          <w:tcPr>
            <w:tcW w:w="284" w:type="dxa"/>
            <w:textDirection w:val="btLr"/>
            <w:vAlign w:val="center"/>
          </w:tcPr>
          <w:p w14:paraId="658F0EB0" w14:textId="77777777" w:rsidR="00AB6BAC" w:rsidRPr="003760E2" w:rsidRDefault="00AB6BAC" w:rsidP="003760E2">
            <w:pPr>
              <w:ind w:left="113" w:right="113"/>
              <w:jc w:val="center"/>
              <w:rPr>
                <w:rFonts w:asciiTheme="majorBidi" w:hAnsiTheme="majorBidi" w:cstheme="majorBidi"/>
                <w:b/>
                <w:bCs/>
                <w:sz w:val="18"/>
                <w:szCs w:val="18"/>
              </w:rPr>
            </w:pPr>
          </w:p>
        </w:tc>
        <w:tc>
          <w:tcPr>
            <w:tcW w:w="283" w:type="dxa"/>
            <w:textDirection w:val="btLr"/>
            <w:vAlign w:val="center"/>
          </w:tcPr>
          <w:p w14:paraId="3C33550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&lt;0.0001</w:t>
            </w:r>
          </w:p>
        </w:tc>
      </w:tr>
      <w:tr w:rsidR="00AB6BAC" w:rsidRPr="003760E2" w14:paraId="6A7719DD" w14:textId="77777777" w:rsidTr="003760E2">
        <w:trPr>
          <w:cantSplit/>
          <w:trHeight w:val="987"/>
          <w:jc w:val="center"/>
        </w:trPr>
        <w:tc>
          <w:tcPr>
            <w:tcW w:w="811" w:type="dxa"/>
            <w:textDirection w:val="btLr"/>
            <w:vAlign w:val="center"/>
          </w:tcPr>
          <w:p w14:paraId="0BBE0F78" w14:textId="128960B2"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TSH      </w:t>
            </w:r>
            <w:proofErr w:type="spellStart"/>
            <w:r w:rsidRPr="003760E2">
              <w:rPr>
                <w:rFonts w:asciiTheme="majorBidi" w:hAnsiTheme="majorBidi" w:cstheme="majorBidi"/>
                <w:b/>
                <w:bCs/>
                <w:color w:val="000000"/>
                <w:sz w:val="18"/>
                <w:szCs w:val="18"/>
              </w:rPr>
              <w:t>mIU</w:t>
            </w:r>
            <w:proofErr w:type="spellEnd"/>
            <w:r w:rsidRPr="003760E2">
              <w:rPr>
                <w:rFonts w:asciiTheme="majorBidi" w:hAnsiTheme="majorBidi" w:cstheme="majorBidi"/>
                <w:b/>
                <w:bCs/>
                <w:color w:val="000000"/>
                <w:sz w:val="18"/>
                <w:szCs w:val="18"/>
              </w:rPr>
              <w:t>/mL</w:t>
            </w:r>
          </w:p>
        </w:tc>
        <w:tc>
          <w:tcPr>
            <w:tcW w:w="895" w:type="dxa"/>
            <w:textDirection w:val="btLr"/>
            <w:vAlign w:val="center"/>
          </w:tcPr>
          <w:p w14:paraId="156430A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1.675</w:t>
            </w:r>
          </w:p>
        </w:tc>
        <w:tc>
          <w:tcPr>
            <w:tcW w:w="283" w:type="dxa"/>
            <w:textDirection w:val="btLr"/>
            <w:vAlign w:val="center"/>
          </w:tcPr>
          <w:p w14:paraId="3FAC64F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0.757</w:t>
            </w:r>
          </w:p>
        </w:tc>
        <w:tc>
          <w:tcPr>
            <w:tcW w:w="284" w:type="dxa"/>
            <w:textDirection w:val="btLr"/>
            <w:vAlign w:val="center"/>
          </w:tcPr>
          <w:p w14:paraId="53AB3FA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71.43</w:t>
            </w:r>
          </w:p>
        </w:tc>
        <w:tc>
          <w:tcPr>
            <w:tcW w:w="283" w:type="dxa"/>
            <w:textDirection w:val="btLr"/>
            <w:vAlign w:val="center"/>
          </w:tcPr>
          <w:p w14:paraId="6BB70D7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71.43</w:t>
            </w:r>
          </w:p>
        </w:tc>
        <w:tc>
          <w:tcPr>
            <w:tcW w:w="284" w:type="dxa"/>
            <w:textDirection w:val="btLr"/>
            <w:vAlign w:val="center"/>
          </w:tcPr>
          <w:p w14:paraId="688D6A5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2.5</w:t>
            </w:r>
          </w:p>
        </w:tc>
        <w:tc>
          <w:tcPr>
            <w:tcW w:w="283" w:type="dxa"/>
            <w:textDirection w:val="btLr"/>
            <w:vAlign w:val="center"/>
          </w:tcPr>
          <w:p w14:paraId="1435AE9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0.0010</w:t>
            </w:r>
          </w:p>
        </w:tc>
      </w:tr>
      <w:tr w:rsidR="00AB6BAC" w:rsidRPr="003760E2" w14:paraId="53BB44E9" w14:textId="77777777" w:rsidTr="003760E2">
        <w:trPr>
          <w:cantSplit/>
          <w:trHeight w:val="845"/>
          <w:jc w:val="center"/>
        </w:trPr>
        <w:tc>
          <w:tcPr>
            <w:tcW w:w="811" w:type="dxa"/>
            <w:textDirection w:val="btLr"/>
            <w:vAlign w:val="center"/>
          </w:tcPr>
          <w:p w14:paraId="762812AA"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 Cho.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895" w:type="dxa"/>
            <w:textDirection w:val="btLr"/>
            <w:vAlign w:val="center"/>
          </w:tcPr>
          <w:p w14:paraId="7A610CB9"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148.5</w:t>
            </w:r>
          </w:p>
        </w:tc>
        <w:tc>
          <w:tcPr>
            <w:tcW w:w="283" w:type="dxa"/>
            <w:textDirection w:val="btLr"/>
            <w:vAlign w:val="center"/>
          </w:tcPr>
          <w:p w14:paraId="783216E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0.6645</w:t>
            </w:r>
          </w:p>
        </w:tc>
        <w:tc>
          <w:tcPr>
            <w:tcW w:w="284" w:type="dxa"/>
            <w:textDirection w:val="btLr"/>
            <w:vAlign w:val="center"/>
          </w:tcPr>
          <w:p w14:paraId="34A5AC4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60.71</w:t>
            </w:r>
          </w:p>
        </w:tc>
        <w:tc>
          <w:tcPr>
            <w:tcW w:w="283" w:type="dxa"/>
            <w:textDirection w:val="btLr"/>
            <w:vAlign w:val="center"/>
          </w:tcPr>
          <w:p w14:paraId="52D00713"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67.86</w:t>
            </w:r>
          </w:p>
        </w:tc>
        <w:tc>
          <w:tcPr>
            <w:tcW w:w="284" w:type="dxa"/>
            <w:textDirection w:val="btLr"/>
            <w:vAlign w:val="center"/>
          </w:tcPr>
          <w:p w14:paraId="11AC3C79"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1.889</w:t>
            </w:r>
          </w:p>
        </w:tc>
        <w:tc>
          <w:tcPr>
            <w:tcW w:w="283" w:type="dxa"/>
            <w:textDirection w:val="btLr"/>
            <w:vAlign w:val="center"/>
          </w:tcPr>
          <w:p w14:paraId="179895E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0.0345</w:t>
            </w:r>
          </w:p>
        </w:tc>
      </w:tr>
      <w:tr w:rsidR="00AB6BAC" w:rsidRPr="003760E2" w14:paraId="7B4B0EA9" w14:textId="77777777" w:rsidTr="003760E2">
        <w:trPr>
          <w:cantSplit/>
          <w:trHeight w:val="843"/>
          <w:jc w:val="center"/>
        </w:trPr>
        <w:tc>
          <w:tcPr>
            <w:tcW w:w="811" w:type="dxa"/>
            <w:textDirection w:val="btLr"/>
            <w:vAlign w:val="center"/>
          </w:tcPr>
          <w:p w14:paraId="524F8CDD"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TGs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895" w:type="dxa"/>
            <w:textDirection w:val="btLr"/>
            <w:vAlign w:val="center"/>
          </w:tcPr>
          <w:p w14:paraId="50DBDB8B"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130.5</w:t>
            </w:r>
          </w:p>
        </w:tc>
        <w:tc>
          <w:tcPr>
            <w:tcW w:w="283" w:type="dxa"/>
            <w:textDirection w:val="btLr"/>
            <w:vAlign w:val="center"/>
          </w:tcPr>
          <w:p w14:paraId="1D82347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0.669</w:t>
            </w:r>
          </w:p>
        </w:tc>
        <w:tc>
          <w:tcPr>
            <w:tcW w:w="284" w:type="dxa"/>
            <w:textDirection w:val="btLr"/>
            <w:vAlign w:val="center"/>
          </w:tcPr>
          <w:p w14:paraId="2724AD2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64.29</w:t>
            </w:r>
          </w:p>
        </w:tc>
        <w:tc>
          <w:tcPr>
            <w:tcW w:w="283" w:type="dxa"/>
            <w:textDirection w:val="btLr"/>
            <w:vAlign w:val="center"/>
          </w:tcPr>
          <w:p w14:paraId="4514644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60.71</w:t>
            </w:r>
          </w:p>
        </w:tc>
        <w:tc>
          <w:tcPr>
            <w:tcW w:w="284" w:type="dxa"/>
            <w:textDirection w:val="btLr"/>
            <w:vAlign w:val="center"/>
          </w:tcPr>
          <w:p w14:paraId="3A58A65B"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1.636</w:t>
            </w:r>
          </w:p>
        </w:tc>
        <w:tc>
          <w:tcPr>
            <w:tcW w:w="283" w:type="dxa"/>
            <w:textDirection w:val="btLr"/>
            <w:vAlign w:val="center"/>
          </w:tcPr>
          <w:p w14:paraId="75F2B65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0.0299</w:t>
            </w:r>
          </w:p>
        </w:tc>
      </w:tr>
      <w:tr w:rsidR="00AB6BAC" w:rsidRPr="003760E2" w14:paraId="225CBCD2" w14:textId="77777777" w:rsidTr="003760E2">
        <w:trPr>
          <w:cantSplit/>
          <w:trHeight w:val="828"/>
          <w:jc w:val="center"/>
        </w:trPr>
        <w:tc>
          <w:tcPr>
            <w:tcW w:w="811" w:type="dxa"/>
            <w:textDirection w:val="btLr"/>
            <w:vAlign w:val="center"/>
          </w:tcPr>
          <w:p w14:paraId="097E536C"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HDL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895" w:type="dxa"/>
            <w:textDirection w:val="btLr"/>
            <w:vAlign w:val="center"/>
          </w:tcPr>
          <w:p w14:paraId="4E530A9C"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44.5</w:t>
            </w:r>
          </w:p>
        </w:tc>
        <w:tc>
          <w:tcPr>
            <w:tcW w:w="283" w:type="dxa"/>
            <w:textDirection w:val="btLr"/>
            <w:vAlign w:val="center"/>
          </w:tcPr>
          <w:p w14:paraId="62CADB3C"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0.5708</w:t>
            </w:r>
          </w:p>
        </w:tc>
        <w:tc>
          <w:tcPr>
            <w:tcW w:w="284" w:type="dxa"/>
            <w:textDirection w:val="btLr"/>
            <w:vAlign w:val="center"/>
          </w:tcPr>
          <w:p w14:paraId="1B49817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64.29</w:t>
            </w:r>
          </w:p>
        </w:tc>
        <w:tc>
          <w:tcPr>
            <w:tcW w:w="283" w:type="dxa"/>
            <w:textDirection w:val="btLr"/>
            <w:vAlign w:val="center"/>
          </w:tcPr>
          <w:p w14:paraId="6DF85E9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50</w:t>
            </w:r>
          </w:p>
        </w:tc>
        <w:tc>
          <w:tcPr>
            <w:tcW w:w="284" w:type="dxa"/>
            <w:textDirection w:val="btLr"/>
            <w:vAlign w:val="center"/>
          </w:tcPr>
          <w:p w14:paraId="6C518EB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1.286</w:t>
            </w:r>
          </w:p>
        </w:tc>
        <w:tc>
          <w:tcPr>
            <w:tcW w:w="283" w:type="dxa"/>
            <w:textDirection w:val="btLr"/>
            <w:vAlign w:val="center"/>
          </w:tcPr>
          <w:p w14:paraId="0FDCBD74"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0.3631</w:t>
            </w:r>
          </w:p>
        </w:tc>
      </w:tr>
      <w:tr w:rsidR="00AB6BAC" w:rsidRPr="003760E2" w14:paraId="696C6AA4" w14:textId="77777777" w:rsidTr="003760E2">
        <w:trPr>
          <w:cantSplit/>
          <w:trHeight w:val="839"/>
          <w:jc w:val="center"/>
        </w:trPr>
        <w:tc>
          <w:tcPr>
            <w:tcW w:w="811" w:type="dxa"/>
            <w:textDirection w:val="btLr"/>
            <w:vAlign w:val="center"/>
          </w:tcPr>
          <w:p w14:paraId="5AC4882C"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LDL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895" w:type="dxa"/>
            <w:textDirection w:val="btLr"/>
            <w:vAlign w:val="center"/>
          </w:tcPr>
          <w:p w14:paraId="40A8EF8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&gt; 79.4</w:t>
            </w:r>
          </w:p>
        </w:tc>
        <w:tc>
          <w:tcPr>
            <w:tcW w:w="283" w:type="dxa"/>
            <w:textDirection w:val="btLr"/>
            <w:vAlign w:val="center"/>
          </w:tcPr>
          <w:p w14:paraId="2BFADFD2"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0.7526</w:t>
            </w:r>
          </w:p>
        </w:tc>
        <w:tc>
          <w:tcPr>
            <w:tcW w:w="284" w:type="dxa"/>
            <w:textDirection w:val="btLr"/>
            <w:vAlign w:val="center"/>
          </w:tcPr>
          <w:p w14:paraId="52694ED5"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67.86</w:t>
            </w:r>
          </w:p>
        </w:tc>
        <w:tc>
          <w:tcPr>
            <w:tcW w:w="283" w:type="dxa"/>
            <w:textDirection w:val="btLr"/>
            <w:vAlign w:val="center"/>
          </w:tcPr>
          <w:p w14:paraId="2D022F8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67.86</w:t>
            </w:r>
          </w:p>
        </w:tc>
        <w:tc>
          <w:tcPr>
            <w:tcW w:w="284" w:type="dxa"/>
            <w:textDirection w:val="btLr"/>
            <w:vAlign w:val="center"/>
          </w:tcPr>
          <w:p w14:paraId="47E601F8"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2.111</w:t>
            </w:r>
          </w:p>
        </w:tc>
        <w:tc>
          <w:tcPr>
            <w:tcW w:w="283" w:type="dxa"/>
            <w:textDirection w:val="btLr"/>
            <w:vAlign w:val="center"/>
          </w:tcPr>
          <w:p w14:paraId="5DE65C36"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0.0012</w:t>
            </w:r>
          </w:p>
        </w:tc>
      </w:tr>
      <w:tr w:rsidR="00AB6BAC" w:rsidRPr="003760E2" w14:paraId="61A13992" w14:textId="77777777" w:rsidTr="003760E2">
        <w:trPr>
          <w:cantSplit/>
          <w:trHeight w:val="840"/>
          <w:jc w:val="center"/>
        </w:trPr>
        <w:tc>
          <w:tcPr>
            <w:tcW w:w="811" w:type="dxa"/>
            <w:textDirection w:val="btLr"/>
            <w:vAlign w:val="center"/>
          </w:tcPr>
          <w:p w14:paraId="7F440C69" w14:textId="77777777" w:rsidR="00AB6BAC" w:rsidRPr="003760E2" w:rsidRDefault="00AB6BAC" w:rsidP="003760E2">
            <w:pPr>
              <w:ind w:left="113" w:right="113"/>
              <w:jc w:val="center"/>
              <w:rPr>
                <w:rFonts w:asciiTheme="majorBidi" w:hAnsiTheme="majorBidi" w:cstheme="majorBidi"/>
                <w:b/>
                <w:bCs/>
                <w:color w:val="000000"/>
                <w:sz w:val="18"/>
                <w:szCs w:val="18"/>
              </w:rPr>
            </w:pPr>
            <w:r w:rsidRPr="003760E2">
              <w:rPr>
                <w:rFonts w:asciiTheme="majorBidi" w:hAnsiTheme="majorBidi" w:cstheme="majorBidi"/>
                <w:b/>
                <w:bCs/>
                <w:color w:val="000000"/>
                <w:sz w:val="18"/>
                <w:szCs w:val="18"/>
              </w:rPr>
              <w:t xml:space="preserve">VLDL   </w:t>
            </w:r>
            <w:r w:rsidRPr="003760E2">
              <w:rPr>
                <w:rFonts w:asciiTheme="majorBidi" w:hAnsiTheme="majorBidi" w:cstheme="majorBidi"/>
                <w:b/>
                <w:bCs/>
                <w:sz w:val="18"/>
                <w:szCs w:val="18"/>
                <w:lang w:val="fr-FR" w:bidi="ar-IQ"/>
              </w:rPr>
              <w:t xml:space="preserve"> mg/</w:t>
            </w:r>
            <w:proofErr w:type="spellStart"/>
            <w:r w:rsidRPr="003760E2">
              <w:rPr>
                <w:rFonts w:asciiTheme="majorBidi" w:hAnsiTheme="majorBidi" w:cstheme="majorBidi"/>
                <w:b/>
                <w:bCs/>
                <w:sz w:val="18"/>
                <w:szCs w:val="18"/>
                <w:lang w:val="fr-FR" w:bidi="ar-IQ"/>
              </w:rPr>
              <w:t>mL</w:t>
            </w:r>
            <w:proofErr w:type="spellEnd"/>
          </w:p>
        </w:tc>
        <w:tc>
          <w:tcPr>
            <w:tcW w:w="895" w:type="dxa"/>
            <w:textDirection w:val="btLr"/>
            <w:vAlign w:val="center"/>
          </w:tcPr>
          <w:p w14:paraId="709D1B7E"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&lt; 26.1</w:t>
            </w:r>
          </w:p>
        </w:tc>
        <w:tc>
          <w:tcPr>
            <w:tcW w:w="283" w:type="dxa"/>
            <w:textDirection w:val="btLr"/>
            <w:vAlign w:val="center"/>
          </w:tcPr>
          <w:p w14:paraId="56349AA5"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0.669</w:t>
            </w:r>
          </w:p>
        </w:tc>
        <w:tc>
          <w:tcPr>
            <w:tcW w:w="284" w:type="dxa"/>
            <w:textDirection w:val="btLr"/>
            <w:vAlign w:val="center"/>
          </w:tcPr>
          <w:p w14:paraId="3B1D9F1B"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64.29</w:t>
            </w:r>
          </w:p>
        </w:tc>
        <w:tc>
          <w:tcPr>
            <w:tcW w:w="283" w:type="dxa"/>
            <w:textDirection w:val="btLr"/>
            <w:vAlign w:val="center"/>
          </w:tcPr>
          <w:p w14:paraId="7A6DAF9D"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60.71</w:t>
            </w:r>
          </w:p>
        </w:tc>
        <w:tc>
          <w:tcPr>
            <w:tcW w:w="284" w:type="dxa"/>
            <w:textDirection w:val="btLr"/>
            <w:vAlign w:val="center"/>
          </w:tcPr>
          <w:p w14:paraId="5CF70DF3"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1.636</w:t>
            </w:r>
          </w:p>
        </w:tc>
        <w:tc>
          <w:tcPr>
            <w:tcW w:w="283" w:type="dxa"/>
            <w:textDirection w:val="btLr"/>
            <w:vAlign w:val="center"/>
          </w:tcPr>
          <w:p w14:paraId="0CDEFD1F" w14:textId="77777777" w:rsidR="00AB6BAC" w:rsidRPr="003760E2" w:rsidRDefault="00AB6BAC" w:rsidP="003760E2">
            <w:pPr>
              <w:ind w:left="113" w:right="113"/>
              <w:jc w:val="center"/>
              <w:rPr>
                <w:rFonts w:asciiTheme="majorBidi" w:hAnsiTheme="majorBidi" w:cstheme="majorBidi"/>
                <w:b/>
                <w:bCs/>
                <w:sz w:val="18"/>
                <w:szCs w:val="18"/>
              </w:rPr>
            </w:pPr>
            <w:r w:rsidRPr="003760E2">
              <w:rPr>
                <w:rFonts w:asciiTheme="majorBidi" w:hAnsiTheme="majorBidi" w:cstheme="majorBidi"/>
                <w:b/>
                <w:bCs/>
                <w:sz w:val="18"/>
                <w:szCs w:val="18"/>
              </w:rPr>
              <w:t>0.0299</w:t>
            </w:r>
          </w:p>
        </w:tc>
      </w:tr>
    </w:tbl>
    <w:p w14:paraId="17745CEC" w14:textId="77777777" w:rsidR="00DC0CC2" w:rsidRDefault="00DC0CC2" w:rsidP="00DC0CC2">
      <w:pPr>
        <w:spacing w:line="276" w:lineRule="auto"/>
        <w:ind w:firstLine="567"/>
        <w:jc w:val="both"/>
        <w:rPr>
          <w:rFonts w:asciiTheme="majorBidi" w:hAnsiTheme="majorBidi" w:cstheme="majorBidi"/>
        </w:rPr>
      </w:pPr>
    </w:p>
    <w:p w14:paraId="2755F70F" w14:textId="77777777" w:rsidR="00AB6BAC" w:rsidRPr="00DC0CC2" w:rsidRDefault="00AB6BAC" w:rsidP="00DC0CC2">
      <w:pPr>
        <w:spacing w:line="276" w:lineRule="auto"/>
        <w:ind w:firstLine="567"/>
        <w:jc w:val="both"/>
        <w:rPr>
          <w:rFonts w:asciiTheme="majorBidi" w:hAnsiTheme="majorBidi" w:cstheme="majorBidi"/>
        </w:rPr>
      </w:pPr>
      <w:r w:rsidRPr="00DC0CC2">
        <w:rPr>
          <w:rFonts w:asciiTheme="majorBidi" w:hAnsiTheme="majorBidi" w:cstheme="majorBidi"/>
        </w:rPr>
        <w:t xml:space="preserve">In table 5, ROC curve checking offered that the best biomarkers were fit to distinguish patients with hyperthyroidism patients from HCs T3 and T4 [AUS= 1; P&lt;0.0001; Cut-off value: (&gt; 2.22, &gt; 106.9) ;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100 and Spec%: 100] respectively, also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was established to be a better predicator for hyperthyroidism [AUC =0.9043; P = &lt;0.0001; Cut-off value: &lt; 5.87;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82.14; Spec%: 82.14 and LHR: 4.6], while (T. Cho., TGs, HDL, VLDL,) showed low validity in predicting validity [AUC=0.6645; P= 0.0345; Cut-off value: &gt; 148.5;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60.71; Spec%: 67.86 and LHR: 1.889], [AUC=0.669; P=0.0299; Cut-off value: &lt; 130.5;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64.29; Spec%: 60.71 and LHR: 1.636], [AUC; 0.5708; p=0.3631; Cut-off value: &lt; 44.5;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64.29; Spec%: 50 and LHR: 1.286], [AUC=0.669; P=0.0299; Cut-off value: &lt; 26.1;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64.29; Spec%: 60.71 and LHR: 1.636], respectively, while LDL and TSH revealed strong discriminatory effectiveness between sick and healthy people. [AUC=0.7526; P=0.0012; Cut-off value: &gt; 79.4; </w:t>
      </w:r>
      <w:proofErr w:type="spellStart"/>
      <w:r w:rsidRPr="00DC0CC2">
        <w:rPr>
          <w:rFonts w:asciiTheme="majorBidi" w:hAnsiTheme="majorBidi" w:cstheme="majorBidi"/>
        </w:rPr>
        <w:t>Sen</w:t>
      </w:r>
      <w:proofErr w:type="spellEnd"/>
      <w:r w:rsidRPr="00DC0CC2">
        <w:rPr>
          <w:rFonts w:asciiTheme="majorBidi" w:hAnsiTheme="majorBidi" w:cstheme="majorBidi"/>
        </w:rPr>
        <w:t xml:space="preserve">%: 67.86; Spec%: 67.86 and LHR: 2.111], and [AUC=0.757;p=0.0010; Cut-off value: &lt; 1.675; </w:t>
      </w:r>
      <w:proofErr w:type="spellStart"/>
      <w:r w:rsidRPr="00DC0CC2">
        <w:rPr>
          <w:rFonts w:asciiTheme="majorBidi" w:hAnsiTheme="majorBidi" w:cstheme="majorBidi"/>
        </w:rPr>
        <w:lastRenderedPageBreak/>
        <w:t>Sen</w:t>
      </w:r>
      <w:proofErr w:type="spellEnd"/>
      <w:r w:rsidRPr="00DC0CC2">
        <w:rPr>
          <w:rFonts w:asciiTheme="majorBidi" w:hAnsiTheme="majorBidi" w:cstheme="majorBidi"/>
        </w:rPr>
        <w:t>%: 71.43; Spec%: 71.43 and Likelihood Ratio: 2.5], respectively.</w:t>
      </w:r>
    </w:p>
    <w:p w14:paraId="0005BDA4" w14:textId="36D410DD" w:rsidR="00AB6BAC" w:rsidRPr="00DC0CC2" w:rsidRDefault="00AB6BAC" w:rsidP="00DC0CC2">
      <w:pPr>
        <w:spacing w:line="276" w:lineRule="auto"/>
        <w:ind w:firstLine="567"/>
        <w:jc w:val="both"/>
        <w:rPr>
          <w:rFonts w:asciiTheme="majorBidi" w:hAnsiTheme="majorBidi" w:cstheme="majorBidi"/>
        </w:rPr>
      </w:pPr>
      <w:r w:rsidRPr="00DC0CC2">
        <w:rPr>
          <w:rFonts w:asciiTheme="majorBidi" w:hAnsiTheme="majorBidi" w:cstheme="majorBidi"/>
        </w:rPr>
        <w:tab/>
        <w:t xml:space="preserve">Thyroid dysfunction can manifest as low hyperthyroidism or high hypothyroidism, respectively, with raised or lowered serum TSH levels that affect the synthesis of the thyroid hormones T3 and/or T4, respectively. The most frequent causes of thyroid dysfunction in places with abundant iodine are autoimmune diseases like Graves’ disease and Hashimoto's thyroiditis. Both sexes are susceptible to thyroid dysfunction, however women over 40 are more likely than males to have it, with a frequency of 5–15% in areas where iodine is abundant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{"citationItems":[{"id":"ITEM-1","itemData":{"DOI":"10.1530/ERC-19-0417","ISSN":"14796821","PMID":"32045361","abstract":"In this study, we aimed to evaluate site-specific cancer risks associated with hyperthyroidism or hypothyroidism. We performed a systematic review of observational studies reporting associations between hyperthyroidism or hypothyroidism and subsequent site-specific cancer incidence, in MEDLINE and the COCHRANE library (inception-28/01/2019) (PROSPERO: CRD42019125094). We excluded studies with thyroid dysfunction evaluated as a cancer biomarker or after prior cancer diagnosis and those considering transient thyroid dysfunction during pregnancy or severe illnesses. Risk of bias was assessed using a modified Newcastle–Ottawa scale. Risk estimates were pooled using random-effects models when ≥5 studies reported data for a specific cancer site. Twenty studies were included, of which 15 contributed to the meta-analysis. Compared to euthyroidism, hyperthyroidism was associated with higher risks of thyroid (pooled risk ratio: 4.49, 95%CI: 2.84–7.12), breast (pooled risk ratio: 1.20, 95%CI: 1.04–1.38), and prostate (pooled risk ratio: 1.35, 95%CI: 1.05–1.74), but not respiratory tract (pooled risk ratio: 1.06, 95%CI: 0.80–1.42) cancers. Hypothyroidism was associated with a higher risk of thyroid cancer within the first 10 years of follow-up only (pooled risk ratio: 3.31, 95%CI: 1.20–9.13). There was no or limited evidence of thyroid dysfunction-related risks of other cancer sites. In conclusion, thyroid dysfunction was associated with increased risks of thyroid, breast, and prostate cancers. However, it remains unclear whether these findings represent causal relationships because information on treatments and potential confounders was frequently lacking.","author":[{"dropping-particle":"","family":"Tran","given":"Thi Van Trinh","non-dropping-particle":"","parse-names":false,"suffix":""},{"dropping-particle":"","family":"Kitahara","given":"Cari M.","non-dropping-particle":"","parse-names":false,"suffix":""},{"dropping-particle":"","family":"Vathaire","given":"Florent","non-dropping-particle":"de","parse-names":false,"suffix":""},{"dropping-particle":"","family":"Boutron-Ruault","given":"Marie Christine","non-dropping-particle":"","parse-names":false,"suffix":""},{"dropping-particle":"","family":"Journy","given":"Neige","non-dropping-particle":"","parse-names":false,"suffix":""}],"container-title":"Endocrine-Related Cancer","id":"ITEM-1","issue":"4","issued":{"date-parts":[["2020"]]},"page":"245-249","title":"Thyroid dysfunction and cancer incidence: a systematic review and meta-analysis","type":"article-journal","volume":"27"},"uris":["http://www.mendeley.com/documents/?uuid=1066c650-6456-440e-87f8-3d1eed7ce307"]}],"mendeley":{"formattedCitation":"[15]","plainTextFormattedCitation":"[15]","previouslyFormattedCitation":"[14]"},"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[15]</w:t>
      </w:r>
      <w:r w:rsidRPr="00DC0CC2">
        <w:rPr>
          <w:rFonts w:asciiTheme="majorBidi" w:hAnsiTheme="majorBidi" w:cstheme="majorBidi"/>
        </w:rPr>
        <w:fldChar w:fldCharType="end"/>
      </w:r>
      <w:r w:rsidRPr="00DC0CC2">
        <w:rPr>
          <w:rFonts w:asciiTheme="majorBidi" w:hAnsiTheme="majorBidi" w:cstheme="majorBidi"/>
        </w:rPr>
        <w:t xml:space="preserve">. Since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has been shown to have a role in metabolism, it is essential for proper thyroid operation.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is a </w:t>
      </w:r>
      <w:proofErr w:type="spellStart"/>
      <w:r w:rsidRPr="00DC0CC2">
        <w:rPr>
          <w:rFonts w:asciiTheme="majorBidi" w:hAnsiTheme="majorBidi" w:cstheme="majorBidi"/>
        </w:rPr>
        <w:t>neuroprotective</w:t>
      </w:r>
      <w:proofErr w:type="spellEnd"/>
      <w:r w:rsidRPr="00DC0CC2">
        <w:rPr>
          <w:rFonts w:asciiTheme="majorBidi" w:hAnsiTheme="majorBidi" w:cstheme="majorBidi"/>
        </w:rPr>
        <w:t xml:space="preserve"> agent that also alters anxiety-like behavior regulation and hypothalamic appetite regulation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{"citationItems":[{"id":"ITEM-1","itemData":{"abstract":"Leptin acts as an anorexigenic hormone in the brain, where the long form of the leptin receptor (LRb) is widely expressed in hypothalamic and extra-hypothalamic sites that are known to participate in diverse feeding circuits. The important role of leptin in energy homeostasis is demonstrated by the profound hyperphagia and morbid obesity in humans and rodents null for leptin or LRb. However, common forms of obesity are associated with high leptin levels and a failure to respond effectively to exogenous leptin; indicating a state of leptin resistance. Leptin resistance is thought to be an important component in the development of obesity. Several defects may contribute to the leptin resistant state, including a defective leptin transport across the blood-brain barrier, which reduces the availability of leptin at its receptor. Furthermore, defects in LRb signal transduction involving reduced LRb expression or the induction of feedback inhibitors have been found in leptin resistance; these defects are commonly termed cellular leptin resistance,. Finally, reduced leptin action can result in the disruption of proper neuronal interactions, by altering neu-ronal wiring. Interestingly, some leptin functions remain intact in the leptin-resistant state, such as cardiovascular leptin effects. The appearance of selective leptin resistance is mirrored by the observation that cellular leptin resistance has been found only in some subpopulations of hypo-thalamic LRb neurons. Current efforts to dissect leptin function in specific populations of LRb neu-rons will increase our understanding of these complexities of leptin physiology. The adipocyte-derived hormone leptin executes its anorexigenic actions via leptin receptors (LR), which belong to the category of class I cytokine receptors. Six LR variants (LRa-f in the mouse) exist, all derived from alternative splicing of the lepr gene. LR variants are subcategorized as short form (LRa, c, d, f, g), soluble form (LRe) and long form (LRb). LRa and LRb consist of identical extracellular domains,","author":[{"dropping-particle":"","family":"Münzberg","given":"Heike","non-dropping-particle":"","parse-names":false,"suffix":""},{"dropping-particle":"","family":"Receptor","given":"Leptin","non-dropping-particle":"","parse-names":false,"suffix":""}],"id":"ITEM-1","issued":{"date-parts":[["2010"]]},"page":"123-132","title":"Leptin-Signaling Pathways and Leptin Resistance Leptin Action in the Central Nervous System","type":"article-journal","volume":"63"},"uris":["http://www.mendeley.com/documents/?uuid=8125eff1-9368-4a53-9eb2-a91a63b29b3c"]}],"mendeley":{"formattedCitation":"[16]","plainTextFormattedCitation":"[16]","previouslyFormattedCitation":"[15]"},"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[16]</w:t>
      </w:r>
      <w:r w:rsidRPr="00DC0CC2">
        <w:rPr>
          <w:rFonts w:asciiTheme="majorBidi" w:hAnsiTheme="majorBidi" w:cstheme="majorBidi"/>
        </w:rPr>
        <w:fldChar w:fldCharType="end"/>
      </w:r>
      <w:r w:rsidRPr="00DC0CC2">
        <w:rPr>
          <w:rFonts w:asciiTheme="majorBidi" w:hAnsiTheme="majorBidi" w:cstheme="majorBidi"/>
        </w:rPr>
        <w:t xml:space="preserve">. Although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has only been investigated in a few trials, current agreement is that, due to its capacity to suppress hunger and encourage weight reduction, it may have the potential to treat obesity and problems associated with obesity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{"citationItems":[{"id":"ITEM-1","itemData":{"DOI":"10.1152/ajpregu.00368.2012","ISSN":"03636119","PMID":"23576617","abstract":"Disruption of finely coordinated neuropeptide signals in the hypothalamus can result in altered food intake and body weight. We identified neuron-derived neurotrophic factor (NENF) as a novel secreted protein through a large-scale screen aimed at identifying novel secreted hypothalamic proteins that regulate food intake. We observed robust Nenf expression in hypothalamic nuclei known to regulate food intake, and its expression was altered under the diet-induced obese (DIO) condition relative to the fed state. Hypothalamic Nenf mRNA was regulated by brain-derived neurotrophic factor (BDNF) signaling, itself an important regulator of appetite. Delivery of purified recombinant BDNF into the lateral cerebral ventricle decreased hypothalamic Nenf expression, while pharmacological inhibition of trkB signaling increased Nenf mRNA expression. Furthermore, recombinant NENF administered via an intracerebroventricular cannula decreased food intake and body weight and increased hypothalamic Pomc and Mc4r mRNA expression. Importantly, the appetite-suppressing effect of NENF was abrogated in obese mice fed a high-fat diet, demonstrating a diet-dependent modulation of NENF function. We propose the existence of a regulatory circuit involving BDNF, NENF, and melanocortin signaling. Our study validates the power of using an integrated experimental and bioinformatic approach to identify novel CNS-derived proteins with appetite-modulating function and reveals NENF as an important central modulator of food intake. © 2013 the American Physiological Society.","author":[{"dropping-particle":"","family":"Byerly","given":"Mardi S.","non-dropping-particle":"","parse-names":false,"suffix":""},{"dropping-particle":"","family":"Swanson","given":"Roy D.","non-dropping-particle":"","parse-names":false,"suffix":""},{"dropping-particle":"","family":"Semsarzadeh","given":"Nina N.","non-dropping-particle":"","parse-names":false,"suffix":""},{"dropping-particle":"","family":"McCulloh","given":"Patrick S.","non-dropping-particle":"","parse-names":false,"suffix":""},{"dropping-particle":"","family":"Kwon","given":"Kiwook","non-dropping-particle":"","parse-names":false,"suffix":""},{"dropping-particle":"","family":"Aja","given":"Susan","non-dropping-particle":"","parse-names":false,"suffix":""},{"dropping-particle":"","family":"Moran","given":"Timothy H.","non-dropping-particle":"","parse-names":false,"suffix":""},{"dropping-particle":"","family":"William Wong","given":"G.","non-dropping-particle":"","parse-names":false,"suffix":""},{"dropping-particle":"","family":"Blackshaw","given":"Seth","non-dropping-particle":"","parse-names":false,"suffix":""}],"container-title":"American Journal of Physiology - Regulatory Integrative and Comparative Physiology","id":"ITEM-1","issue":"12","issued":{"date-parts":[["2013"]]},"page":"1085-1095","title":"Identification of hypothalamic neuron-derived neurotrophic factor as a novel factor modulating appetite","type":"article-journal","volume":"304"},"uris":["http://www.mendeley.com/documents/?uuid=0be569ec-599b-4b44-9ede-c8d1c15fc0a9"]}],"mendeley":{"formattedCitation":"[6]","plainTextFormattedCitation":"[6]","previouslyFormattedCitation":"[6]"},"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[6]</w:t>
      </w:r>
      <w:r w:rsidRPr="00DC0CC2">
        <w:rPr>
          <w:rFonts w:asciiTheme="majorBidi" w:hAnsiTheme="majorBidi" w:cstheme="majorBidi"/>
        </w:rPr>
        <w:fldChar w:fldCharType="end"/>
      </w:r>
      <w:r w:rsidRPr="00DC0CC2">
        <w:rPr>
          <w:rFonts w:asciiTheme="majorBidi" w:hAnsiTheme="majorBidi" w:cstheme="majorBidi"/>
        </w:rPr>
        <w:t>.</w:t>
      </w:r>
    </w:p>
    <w:p w14:paraId="7748E0C4" w14:textId="77777777" w:rsidR="00AB6BAC" w:rsidRPr="00DC0CC2" w:rsidRDefault="00AB6BAC" w:rsidP="00DC0CC2">
      <w:pPr>
        <w:spacing w:line="276" w:lineRule="auto"/>
        <w:ind w:firstLine="567"/>
        <w:jc w:val="both"/>
        <w:rPr>
          <w:rFonts w:asciiTheme="majorBidi" w:hAnsiTheme="majorBidi" w:cstheme="majorBidi"/>
        </w:rPr>
      </w:pPr>
      <w:r w:rsidRPr="00DC0CC2">
        <w:rPr>
          <w:rFonts w:asciiTheme="majorBidi" w:hAnsiTheme="majorBidi" w:cstheme="majorBidi"/>
          <w:lang w:val="en"/>
        </w:rPr>
        <w:t xml:space="preserve">In the present study, the levels of </w:t>
      </w:r>
      <w:proofErr w:type="spellStart"/>
      <w:r w:rsidRPr="00DC0CC2">
        <w:rPr>
          <w:rFonts w:asciiTheme="majorBidi" w:hAnsiTheme="majorBidi" w:cstheme="majorBidi"/>
          <w:lang w:val="en"/>
        </w:rPr>
        <w:t>neudesin</w:t>
      </w:r>
      <w:proofErr w:type="spellEnd"/>
      <w:r w:rsidRPr="00DC0CC2">
        <w:rPr>
          <w:rFonts w:asciiTheme="majorBidi" w:hAnsiTheme="majorBidi" w:cstheme="majorBidi"/>
          <w:lang w:val="en"/>
        </w:rPr>
        <w:t xml:space="preserve"> in those with TDs were considerably lower than those in the control group. Previous research found that people with hyperthyroidism had much higher amounts of </w:t>
      </w:r>
      <w:proofErr w:type="spellStart"/>
      <w:r w:rsidRPr="00DC0CC2">
        <w:rPr>
          <w:rFonts w:asciiTheme="majorBidi" w:hAnsiTheme="majorBidi" w:cstheme="majorBidi"/>
          <w:lang w:val="en"/>
        </w:rPr>
        <w:t>neudesin</w:t>
      </w:r>
      <w:proofErr w:type="spellEnd"/>
      <w:r w:rsidRPr="00DC0CC2">
        <w:rPr>
          <w:rFonts w:asciiTheme="majorBidi" w:hAnsiTheme="majorBidi" w:cstheme="majorBidi"/>
          <w:lang w:val="en"/>
        </w:rPr>
        <w:t xml:space="preserve"> than those with hypothyroidism or in the control group. However, the new study shows that the opposite is true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{"citationItems":[{"id":"ITEM-1","itemData":{"author":[{"dropping-particle":"","family":"Abdul Hadeel","given":"Shatha Abdul Wadood AL- Shammaree","non-dropping-particle":"","parse-names":false,"suffix":""}],"container-title":"The Egyptian Journal of Hospital Medicine","id":"ITEM-1","issue":"October","issued":{"date-parts":[["2022"]]},"page":"7809-7813","title":"Neudesin Levels in Patients with Thyroidism","type":"article-journal","volume":"89"},"uris":["http://www.mendeley.com/documents/?uuid=654cfa46-db90-4439-9245-d80389b5512b"]}],"mendeley":{"formattedCitation":"[17]","plainTextFormattedCitation":"[17]","previouslyFormattedCitation":"[16]"},"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[17]</w:t>
      </w:r>
      <w:r w:rsidRPr="00DC0CC2">
        <w:rPr>
          <w:rFonts w:asciiTheme="majorBidi" w:hAnsiTheme="majorBidi" w:cstheme="majorBidi"/>
        </w:rPr>
        <w:fldChar w:fldCharType="end"/>
      </w:r>
      <w:r w:rsidRPr="00DC0CC2">
        <w:rPr>
          <w:rFonts w:asciiTheme="majorBidi" w:hAnsiTheme="majorBidi" w:cstheme="majorBidi"/>
        </w:rPr>
        <w:t xml:space="preserve">.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levels in the blood of adults with a recent diagnosis of type 2 diabetes were greater than those of controls of the same age and body mass index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{"citationItems":[{"id":"ITEM-1","itemData":{"DOI":"10.1080/09513590.2020.1751106","ISSN":"14730766","PMID":"32314607","abstract":"Neudesin is a neuropeptide hormone involves in female reproduction system via promoting effects of progesterone. Polycystic ovary syndrome (PCOS) is a metabolic and reproductive disorder associated with hypothalamic-pituitary-ovarian axis abnormalities and impaired negative feedback mechanism of progesterone upon gonadotropin-releasing hormone secretion. Our aims were to discover whether neudesin levels were altered in PCOS women comparing to controls and to determine the link of neudesin with hormonal-metabolic parameters in PCOS women. The current research was designed as a case-control study. Sixty-eight subjects with PCOS and 67 age- and body mass index (BMI)-matched subjects as controls were enrolled into the study. Circulating neudesin levels were measured by ELISA. Neudesin levels were significantly lower in PCOS subjects compared to controls (4.07 ± 1.22 vs. 6.02 ± 2.07 ng/ml, p &lt;.001). Neudesin exhibited an inversely independent link with luteinizing hormone, free-androgen index, and BMI whereas it showed a positively independent link with progesterone in women with PCOS. Logistic regression analysis revealed that decreased neudesin levels were parallel with increased risk of having PCOS. Decreased neudesin levels were associated with hormonal disturbances in PCOS women, suggesting that neudesin may play a role in pathophysiology of PCOS.","author":[{"dropping-particle":"","family":"Bozkaya","given":"Giray","non-dropping-particle":"","parse-names":false,"suffix":""},{"dropping-particle":"","family":"Fenercioglu","given":"Ozge","non-dropping-particle":"","parse-names":false,"suffix":""},{"dropping-particle":"","family":"Demir","given":"İsmail","non-dropping-particle":"","parse-names":false,"suffix":""},{"dropping-particle":"","family":"Guler","given":"Aslı","non-dropping-particle":"","parse-names":false,"suffix":""},{"dropping-particle":"","family":"Aslanipour","given":"Behnaz","non-dropping-particle":"","parse-names":false,"suffix":""},{"dropping-particle":"","family":"Calan","given":"Mehmet","non-dropping-particle":"","parse-names":false,"suffix":""}],"container-title":"Gynecological Endocrinology","id":"ITEM-1","issue":"10","issued":{"date-parts":[["2020"]]},"page":"849-853","title":"Neudesin: a neuropeptide hormone decreased in subjects with polycystic ovary syndrome","type":"article-journal","volume":"36"},"uris":["http://www.mendeley.com/documents/?uuid=473edeb8-6ace-4c5e-8ca5-7858373aa1b5"]}],"mendeley":{"formattedCitation":"[18]","plainTextFormattedCitation":"[18]","previouslyFormattedCitation":"[17]"},"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[18]</w:t>
      </w:r>
      <w:r w:rsidRPr="00DC0CC2">
        <w:rPr>
          <w:rFonts w:asciiTheme="majorBidi" w:hAnsiTheme="majorBidi" w:cstheme="majorBidi"/>
        </w:rPr>
        <w:fldChar w:fldCharType="end"/>
      </w:r>
      <w:r w:rsidRPr="00DC0CC2">
        <w:rPr>
          <w:rFonts w:asciiTheme="majorBidi" w:hAnsiTheme="majorBidi" w:cstheme="majorBidi"/>
        </w:rPr>
        <w:t xml:space="preserve">. In contrast to the majority of the earlier publications, in which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serum concentrations are around 30 times greater than in our study [16, 7], We found that the amount of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in the blood of fat teens was much lower than that of normal-weight teens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{"citationItems":[{"id":"ITEM-1","itemData":{"DOI":"10.3389/fendo.2022.881524","ISSN":"16642392","abstract":"Childhood overweight and obesity are among the major health problems of modern times, especially in Western countries, due to their association with increased cardiovascular and cancer risk in adulthood. Neudesin, a recently discovered peptide secreted mainly in the brain and adipose tissue, is being investigated for its possible activity as a negative regulator of energy expenditure. We conducted a cross-sectional observational preliminary study with the aim of testing the hypothesis that plasma levels of neudesin can be modified in obese and overweight children and to evaluate any possible relationship between plasma neudesin levels and metabolic and anthropometric parameters. 34 Children (Tanner’s stage 1) were included and divided in two groups according to Cole’s criteria. Group A included obese and overweight children (23 patients, 17 females and 6 males, aged 4-10 years); Group B included healthy normal-weight children (11 subjects, 7 females and 4 males, aged 3-10 years). Metabolic (glucose and insulin, total, LDL- and HDL-cholesterol, triglycerides, uric acid) and hormonal (fT3, fT4, TSH, IGF-1, leptin) parameters were evaluated. HOMA-IR and QUICKI index and the area under the curve (AUC) of glucose and insulin after oral glucose load were calculated in obese and overweight children. Neudesin was measured by ELISA. Neudesin levels were significantly higher in obese/overweight children than in controls. In obese and overweight children, plasma neudesin levels were significantly directly correlated with blood glucose and glucose AUC. Taken together, these results, although preliminary, may suggest a possible age-related role of neudesin in glucose homeostasis in obese/overweight children.","author":[{"dropping-particle":"","family":"Vergani","given":"Edoardo","non-dropping-particle":"","parse-names":false,"suffix":""},{"dropping-particle":"","family":"Bruno","given":"Carmine","non-dropping-particle":"","parse-names":false,"suffix":""},{"dropping-particle":"","family":"Cipolla","given":"Clelia","non-dropping-particle":"","parse-names":false,"suffix":""},{"dropping-particle":"","family":"Currò","given":"Diego","non-dropping-particle":"","parse-names":false,"suffix":""},{"dropping-particle":"","family":"Mancini","given":"Antonio","non-dropping-particle":"","parse-names":false,"suffix":""}],"container-title":"Frontiers in Endocrinology","id":"ITEM-1","issue":"July","issued":{"date-parts":[["2022"]]},"page":"1-7","title":"Plasma Levels of Neudesin and Glucose Metabolism in Obese and Overweight Children","type":"article-journal","volume":"13"},"uris":["http://www.mendeley.com/documents/?uuid=eb8ca3ac-b3f7-4164-b57f-ae604c2ead8c"]}],"mendeley":{"formattedCitation":"[19]","plainTextFormattedCitation":"[19]","previouslyFormattedCitation":"[18]"},"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[19]</w:t>
      </w:r>
      <w:r w:rsidRPr="00DC0CC2">
        <w:rPr>
          <w:rFonts w:asciiTheme="majorBidi" w:hAnsiTheme="majorBidi" w:cstheme="majorBidi"/>
        </w:rPr>
        <w:fldChar w:fldCharType="end"/>
      </w:r>
      <w:r w:rsidRPr="00DC0CC2">
        <w:rPr>
          <w:rFonts w:asciiTheme="majorBidi" w:hAnsiTheme="majorBidi" w:cstheme="majorBidi"/>
        </w:rPr>
        <w:t xml:space="preserve">. </w:t>
      </w:r>
    </w:p>
    <w:p w14:paraId="41E3B524" w14:textId="77777777" w:rsidR="00AB6BAC" w:rsidRPr="00DC0CC2" w:rsidRDefault="00AB6BAC" w:rsidP="00DC0CC2">
      <w:pPr>
        <w:spacing w:line="276" w:lineRule="auto"/>
        <w:ind w:firstLine="567"/>
        <w:jc w:val="both"/>
        <w:rPr>
          <w:rFonts w:asciiTheme="majorBidi" w:hAnsiTheme="majorBidi" w:cstheme="majorBidi"/>
        </w:rPr>
      </w:pPr>
      <w:r w:rsidRPr="00DC0CC2">
        <w:rPr>
          <w:rFonts w:asciiTheme="majorBidi" w:hAnsiTheme="majorBidi" w:cstheme="majorBidi"/>
        </w:rPr>
        <w:t xml:space="preserve">Thyroid-stimulating hormone and free T4 (FT4) were often used to measure thyroid activity and keep track of treatment for hyper- and hypothyroidism. Little intra-individual variation exists in FT4, which is not sensitive to variations in the expression of TH transporters. Current results show a significant increase in T3 level in hyperthyroidism compared with hypothyroidism and control patients, However, T4 level showed a significant increase in hyperthyroidism </w:t>
      </w:r>
      <w:r w:rsidRPr="00DC0CC2">
        <w:rPr>
          <w:rFonts w:asciiTheme="majorBidi" w:hAnsiTheme="majorBidi" w:cstheme="majorBidi"/>
        </w:rPr>
        <w:lastRenderedPageBreak/>
        <w:t xml:space="preserve">compared to control, while it showed a decrease in the hypothyroidism group. But a study showed a significant increase in TSH levels in hypothyroidism compared to hyperthyroidism and control. The results from this study also showed that the HDL levels of hypo- and hyperthyroidism patients when compared with control, while T. Cho., LDL and were increased in hypo- and hyperthyroidism patients compared with control. but the show was level of TGs, and VLDL showed a significant increase in hypothyroidism and control than hyperthyroidism, A prior investigation, however, has confirmed that TC, HDL-C, and LDL-C are elevated in untreated hypothyroidism, a finding that is in stark contrast to the results described in our work. However, TGs levels were comparable to controls when compared to the control group patients' results. While TC, HDL-C, and LDL-C values in individuals with hyperthyroidism were comparable to those in control patients </w:t>
      </w:r>
      <w:r w:rsidRPr="00DC0CC2">
        <w:rPr>
          <w:rFonts w:asciiTheme="majorBidi" w:hAnsiTheme="majorBidi" w:cstheme="majorBidi"/>
        </w:rPr>
        <w:fldChar w:fldCharType="begin" w:fldLock="1"/>
      </w:r>
      <w:r w:rsidRPr="00DC0CC2">
        <w:rPr>
          <w:rFonts w:asciiTheme="majorBidi" w:hAnsiTheme="majorBidi" w:cstheme="majorBidi"/>
        </w:rPr>
        <w:instrText>ADDIN CSL_CITATION {"citationItems":[{"id":"ITEM-1","itemData":{"DOI":"10.1016/0009-8981(87)90447-5","ISSN":"00098981","PMID":"2435434","abstract":"Total cholesterol (TC), high density lipoprotein-cholesterol (HDL-C), low density lipoprotein-cholesterol (LDL-C), triglycerides (TG) and apoprotein A (Apo A) were determined in serum from 21 hyperthyroid patients and 11 hypothyroid patients before and after treatment to euthyroid state. The above-mentioned components were also determined in a reference population. In the hyperthyroid group the concentration of total cholesterol and low density lipoprotein-cholesterol increased significantly upon treatment. High density lipoprotein also increased except for 9 patients also receiving propranolol. The ratio between high density lipoproteincholesterol and total cholesterol decreased in the patients receiving propranolol. In the hypothyroid group the values after treatment decreased significantly for cholesterol, high density lipoprotein-cholesterol and low density lipoproteincholesterol. The ratio between high density lipoprotein-cholesterol and total cholesterol was unchanged. © 1987.","author":[{"dropping-particle":"","family":"Friis","given":"Thorkild","non-dropping-particle":"","parse-names":false,"suffix":""},{"dropping-particle":"","family":"Pedersen","given":"Laurids R.","non-dropping-particle":"","parse-names":false,"suffix":""}],"container-title":"Clinica Chimica Acta","id":"ITEM-1","issue":"2","issued":{"date-parts":[["1987"]]},"page":"155-163","title":"Serum lipids in hyper- and hypothyroidism before and after treatment","type":"article-journal","volume":"162"},"uris":["http://www.mendeley.com/documents/?uuid=f18421ed-dae5-4b32-bf8e-d69de625e7d4"]}],"mendeley":{"formattedCitation":"[20]","plainTextFormattedCitation":"[20]","previouslyFormattedCitation":"[19]"},"properties":{"noteIndex":0},"schema":"https://github.com/citation-style-language/schema/raw/master/csl-citation.json"}</w:instrText>
      </w:r>
      <w:r w:rsidRPr="00DC0CC2">
        <w:rPr>
          <w:rFonts w:asciiTheme="majorBidi" w:hAnsiTheme="majorBidi" w:cstheme="majorBidi"/>
        </w:rPr>
        <w:fldChar w:fldCharType="separate"/>
      </w:r>
      <w:r w:rsidRPr="00DC0CC2">
        <w:rPr>
          <w:rFonts w:asciiTheme="majorBidi" w:hAnsiTheme="majorBidi" w:cstheme="majorBidi"/>
        </w:rPr>
        <w:t>[20]</w:t>
      </w:r>
      <w:r w:rsidRPr="00DC0CC2">
        <w:rPr>
          <w:rFonts w:asciiTheme="majorBidi" w:hAnsiTheme="majorBidi" w:cstheme="majorBidi"/>
        </w:rPr>
        <w:fldChar w:fldCharType="end"/>
      </w:r>
      <w:r w:rsidRPr="00DC0CC2">
        <w:rPr>
          <w:rFonts w:asciiTheme="majorBidi" w:hAnsiTheme="majorBidi" w:cstheme="majorBidi"/>
        </w:rPr>
        <w:t xml:space="preserve">. </w:t>
      </w:r>
    </w:p>
    <w:p w14:paraId="389C1D5C" w14:textId="77777777" w:rsidR="00767D0F" w:rsidRPr="00DC0CC2" w:rsidRDefault="00AB6BAC" w:rsidP="00DC0CC2">
      <w:pPr>
        <w:spacing w:line="276" w:lineRule="auto"/>
        <w:ind w:firstLine="567"/>
        <w:jc w:val="both"/>
        <w:rPr>
          <w:rFonts w:asciiTheme="majorBidi" w:hAnsiTheme="majorBidi" w:cstheme="majorBidi"/>
          <w:rtl/>
          <w:lang w:val="en"/>
        </w:rPr>
      </w:pPr>
      <w:r w:rsidRPr="00DC0CC2">
        <w:rPr>
          <w:rFonts w:asciiTheme="majorBidi" w:hAnsiTheme="majorBidi" w:cstheme="majorBidi"/>
          <w:lang w:val="en"/>
        </w:rPr>
        <w:t xml:space="preserve">Our study suffers from a number of limitations. First, a very small number of participants are Iraqi females with thyroid dysfunction patients. Additionally, one of the drawbacks of this study might be attributed to the analyses being performed in private laboratories. Second, elderly respondents had greater exposure to significant risk factors such as smoking, hypertension, and diabetes. Therefore, these findings need be confirmed by prospective study using larger samples, and more ethnic collections are required to look into the biological effects of serum </w:t>
      </w:r>
      <w:proofErr w:type="spellStart"/>
      <w:r w:rsidRPr="00DC0CC2">
        <w:rPr>
          <w:rFonts w:asciiTheme="majorBidi" w:hAnsiTheme="majorBidi" w:cstheme="majorBidi"/>
          <w:lang w:val="en"/>
        </w:rPr>
        <w:t>neudesin</w:t>
      </w:r>
      <w:proofErr w:type="spellEnd"/>
      <w:r w:rsidRPr="00DC0CC2">
        <w:rPr>
          <w:rFonts w:asciiTheme="majorBidi" w:hAnsiTheme="majorBidi" w:cstheme="majorBidi"/>
          <w:lang w:val="en"/>
        </w:rPr>
        <w:t xml:space="preserve"> levels in TDs instances.</w:t>
      </w:r>
    </w:p>
    <w:p w14:paraId="3B1224A1" w14:textId="1465AC1B" w:rsidR="00767D0F" w:rsidRPr="00DC0CC2" w:rsidRDefault="00767D0F" w:rsidP="00DC0CC2">
      <w:pPr>
        <w:spacing w:line="276" w:lineRule="auto"/>
        <w:jc w:val="both"/>
        <w:rPr>
          <w:rFonts w:asciiTheme="majorBidi" w:hAnsiTheme="majorBidi" w:cstheme="majorBidi"/>
          <w:b/>
          <w:bCs/>
          <w:rtl/>
          <w:lang w:val="en"/>
        </w:rPr>
      </w:pPr>
      <w:r w:rsidRPr="00DC0CC2">
        <w:rPr>
          <w:rFonts w:asciiTheme="majorBidi" w:hAnsiTheme="majorBidi" w:cstheme="majorBidi"/>
          <w:b/>
          <w:bCs/>
          <w:lang w:val="en"/>
        </w:rPr>
        <w:t>Conclusion</w:t>
      </w:r>
    </w:p>
    <w:p w14:paraId="0AF59A75" w14:textId="581F1269" w:rsidR="00AB6BAC" w:rsidRPr="00DC0CC2" w:rsidRDefault="00AB6BAC" w:rsidP="00DC0CC2">
      <w:pPr>
        <w:spacing w:line="276" w:lineRule="auto"/>
        <w:ind w:firstLine="567"/>
        <w:jc w:val="both"/>
        <w:rPr>
          <w:rFonts w:asciiTheme="majorBidi" w:hAnsiTheme="majorBidi" w:cstheme="majorBidi"/>
        </w:rPr>
      </w:pPr>
      <w:r w:rsidRPr="00DC0CC2">
        <w:rPr>
          <w:rFonts w:asciiTheme="majorBidi" w:hAnsiTheme="majorBidi" w:cstheme="majorBidi"/>
        </w:rPr>
        <w:t xml:space="preserve">In </w:t>
      </w:r>
      <w:bookmarkStart w:id="4" w:name="_Hlk141471561"/>
      <w:r w:rsidRPr="00DC0CC2">
        <w:rPr>
          <w:rFonts w:asciiTheme="majorBidi" w:hAnsiTheme="majorBidi" w:cstheme="majorBidi"/>
        </w:rPr>
        <w:t>conclusion</w:t>
      </w:r>
      <w:bookmarkEnd w:id="4"/>
      <w:r w:rsidRPr="00DC0CC2">
        <w:rPr>
          <w:rFonts w:asciiTheme="majorBidi" w:hAnsiTheme="majorBidi" w:cstheme="majorBidi"/>
        </w:rPr>
        <w:t xml:space="preserve">;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because of the role it plays in metabolism, plays an essential role in </w:t>
      </w:r>
      <w:proofErr w:type="spellStart"/>
      <w:r w:rsidRPr="00DC0CC2">
        <w:rPr>
          <w:rFonts w:asciiTheme="majorBidi" w:hAnsiTheme="majorBidi" w:cstheme="majorBidi"/>
        </w:rPr>
        <w:t>thyroidism</w:t>
      </w:r>
      <w:proofErr w:type="spellEnd"/>
      <w:r w:rsidRPr="00DC0CC2">
        <w:rPr>
          <w:rFonts w:asciiTheme="majorBidi" w:hAnsiTheme="majorBidi" w:cstheme="majorBidi"/>
        </w:rPr>
        <w:t xml:space="preserve">. To verify these findings, we need to conduct additional research. Because of these properties, </w:t>
      </w:r>
      <w:proofErr w:type="spellStart"/>
      <w:r w:rsidRPr="00DC0CC2">
        <w:rPr>
          <w:rFonts w:asciiTheme="majorBidi" w:hAnsiTheme="majorBidi" w:cstheme="majorBidi"/>
        </w:rPr>
        <w:t>neudesin</w:t>
      </w:r>
      <w:proofErr w:type="spellEnd"/>
      <w:r w:rsidRPr="00DC0CC2">
        <w:rPr>
          <w:rFonts w:asciiTheme="majorBidi" w:hAnsiTheme="majorBidi" w:cstheme="majorBidi"/>
        </w:rPr>
        <w:t xml:space="preserve"> has the potential to be the focus of additional research regarding the treatment and prevention of </w:t>
      </w:r>
      <w:proofErr w:type="spellStart"/>
      <w:r w:rsidRPr="00DC0CC2">
        <w:rPr>
          <w:rFonts w:asciiTheme="majorBidi" w:hAnsiTheme="majorBidi" w:cstheme="majorBidi"/>
        </w:rPr>
        <w:t>thyroidism</w:t>
      </w:r>
      <w:proofErr w:type="spellEnd"/>
      <w:r w:rsidRPr="00DC0CC2">
        <w:rPr>
          <w:rFonts w:asciiTheme="majorBidi" w:hAnsiTheme="majorBidi" w:cstheme="majorBidi"/>
        </w:rPr>
        <w:t>.</w:t>
      </w:r>
    </w:p>
    <w:p w14:paraId="0B333C85" w14:textId="0FE72D2A" w:rsidR="00AB6BAC" w:rsidRPr="00DC0CC2" w:rsidRDefault="00AB6BAC" w:rsidP="00DC0CC2">
      <w:pPr>
        <w:spacing w:line="276" w:lineRule="auto"/>
        <w:jc w:val="both"/>
        <w:rPr>
          <w:rFonts w:asciiTheme="majorBidi" w:hAnsiTheme="majorBidi" w:cstheme="majorBidi"/>
        </w:rPr>
      </w:pPr>
      <w:r w:rsidRPr="00DC0CC2">
        <w:rPr>
          <w:rFonts w:asciiTheme="majorBidi" w:hAnsiTheme="majorBidi" w:cstheme="majorBidi"/>
          <w:b/>
          <w:bCs/>
        </w:rPr>
        <w:t>Acknowledgements</w:t>
      </w:r>
    </w:p>
    <w:p w14:paraId="47A56EC4" w14:textId="77777777" w:rsidR="00AB6BAC" w:rsidRPr="00DC0CC2" w:rsidRDefault="00AB6BAC" w:rsidP="00DC0CC2">
      <w:pPr>
        <w:spacing w:line="276" w:lineRule="auto"/>
        <w:ind w:firstLine="567"/>
        <w:jc w:val="both"/>
        <w:rPr>
          <w:rFonts w:asciiTheme="majorBidi" w:hAnsiTheme="majorBidi" w:cstheme="majorBidi"/>
        </w:rPr>
      </w:pPr>
      <w:r w:rsidRPr="00DC0CC2">
        <w:rPr>
          <w:rFonts w:asciiTheme="majorBidi" w:hAnsiTheme="majorBidi" w:cstheme="majorBidi"/>
        </w:rPr>
        <w:t>I want to express my gratitude to the Al-Fallujah City private lab personnel for submitting the samples.</w:t>
      </w:r>
    </w:p>
    <w:p w14:paraId="09F46555" w14:textId="77777777" w:rsidR="00767D0F" w:rsidRDefault="00767D0F" w:rsidP="00DC0CC2">
      <w:pPr>
        <w:jc w:val="both"/>
        <w:rPr>
          <w:rFonts w:asciiTheme="majorBidi" w:hAnsiTheme="majorBidi" w:cstheme="majorBidi"/>
          <w:sz w:val="20"/>
          <w:szCs w:val="20"/>
        </w:rPr>
      </w:pPr>
    </w:p>
    <w:p w14:paraId="309734BD" w14:textId="3AE54E2A" w:rsidR="00AB6BAC" w:rsidRPr="00DC0CC2" w:rsidRDefault="00AB6BAC" w:rsidP="00DC0CC2">
      <w:pPr>
        <w:spacing w:line="276" w:lineRule="auto"/>
        <w:jc w:val="both"/>
        <w:rPr>
          <w:rFonts w:asciiTheme="majorBidi" w:hAnsiTheme="majorBidi" w:cstheme="majorBidi"/>
          <w:b/>
          <w:bCs/>
        </w:rPr>
      </w:pPr>
      <w:r w:rsidRPr="00DC0CC2">
        <w:rPr>
          <w:rFonts w:asciiTheme="majorBidi" w:hAnsiTheme="majorBidi" w:cstheme="majorBidi"/>
          <w:b/>
          <w:bCs/>
        </w:rPr>
        <w:t xml:space="preserve">Reference </w:t>
      </w:r>
    </w:p>
    <w:p w14:paraId="0FEFA4F7" w14:textId="779843B6" w:rsidR="0073551E"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fldChar w:fldCharType="begin" w:fldLock="1"/>
      </w:r>
      <w:r w:rsidRPr="00DC0CC2">
        <w:rPr>
          <w:rFonts w:asciiTheme="majorBidi" w:hAnsiTheme="majorBidi" w:cstheme="majorBidi"/>
        </w:rPr>
        <w:instrText xml:space="preserve">ADDIN Mendeley Bibliography CSL_BIBLIOGRAPHY </w:instrText>
      </w:r>
      <w:r w:rsidRPr="00DC0CC2">
        <w:rPr>
          <w:rFonts w:asciiTheme="majorBidi" w:hAnsiTheme="majorBidi" w:cstheme="majorBidi"/>
        </w:rPr>
        <w:fldChar w:fldCharType="separate"/>
      </w:r>
      <w:r w:rsidRPr="00DC0CC2">
        <w:rPr>
          <w:rFonts w:asciiTheme="majorBidi" w:hAnsiTheme="majorBidi" w:cstheme="majorBidi"/>
        </w:rPr>
        <w:t>[1]</w:t>
      </w:r>
      <w:r w:rsidRPr="00DC0CC2">
        <w:rPr>
          <w:rFonts w:asciiTheme="majorBidi" w:hAnsiTheme="majorBidi" w:cstheme="majorBidi"/>
        </w:rPr>
        <w:tab/>
        <w:t xml:space="preserve">H. Q. Wang, W. Di Zhang, B. Yuan, and J. B. Zhang, (2021) “Advances in the regulation of mammalian follicle-stimulating hormone </w:t>
      </w:r>
      <w:r w:rsidRPr="00DC0CC2">
        <w:rPr>
          <w:rFonts w:asciiTheme="majorBidi" w:hAnsiTheme="majorBidi" w:cstheme="majorBidi"/>
        </w:rPr>
        <w:lastRenderedPageBreak/>
        <w:t xml:space="preserve">secretion,” </w:t>
      </w:r>
      <w:r w:rsidRPr="00DC0CC2">
        <w:rPr>
          <w:rFonts w:asciiTheme="majorBidi" w:hAnsiTheme="majorBidi" w:cstheme="majorBidi"/>
          <w:i/>
          <w:iCs/>
        </w:rPr>
        <w:t>Animals</w:t>
      </w:r>
      <w:r w:rsidRPr="00DC0CC2">
        <w:rPr>
          <w:rFonts w:asciiTheme="majorBidi" w:hAnsiTheme="majorBidi" w:cstheme="majorBidi"/>
        </w:rPr>
        <w:t>, vol. 11, no. 4</w:t>
      </w:r>
      <w:r w:rsidR="0073551E" w:rsidRPr="00DC0CC2">
        <w:rPr>
          <w:rFonts w:asciiTheme="majorBidi" w:hAnsiTheme="majorBidi" w:cstheme="majorBidi"/>
        </w:rPr>
        <w:t>https://doi.org/10.3390/ani11041134</w:t>
      </w:r>
    </w:p>
    <w:p w14:paraId="27600B34"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[2]</w:t>
      </w:r>
      <w:r w:rsidRPr="00DC0CC2">
        <w:rPr>
          <w:rFonts w:asciiTheme="majorBidi" w:hAnsiTheme="majorBidi" w:cstheme="majorBidi"/>
        </w:rPr>
        <w:tab/>
        <w:t xml:space="preserve">D. Horgan </w:t>
      </w:r>
      <w:r w:rsidRPr="00DC0CC2">
        <w:rPr>
          <w:rFonts w:asciiTheme="majorBidi" w:hAnsiTheme="majorBidi" w:cstheme="majorBidi"/>
          <w:i/>
          <w:iCs/>
        </w:rPr>
        <w:t>et al.</w:t>
      </w:r>
      <w:r w:rsidRPr="00DC0CC2">
        <w:rPr>
          <w:rFonts w:asciiTheme="majorBidi" w:hAnsiTheme="majorBidi" w:cstheme="majorBidi"/>
        </w:rPr>
        <w:t xml:space="preserve">, (2022) “Tackling Thyroid Cancer in Europe—The Challenges and Opportunities,” </w:t>
      </w:r>
      <w:r w:rsidRPr="00DC0CC2">
        <w:rPr>
          <w:rFonts w:asciiTheme="majorBidi" w:hAnsiTheme="majorBidi" w:cstheme="majorBidi"/>
          <w:i/>
          <w:iCs/>
        </w:rPr>
        <w:t>Healthc.</w:t>
      </w:r>
      <w:r w:rsidRPr="00DC0CC2">
        <w:rPr>
          <w:rFonts w:asciiTheme="majorBidi" w:hAnsiTheme="majorBidi" w:cstheme="majorBidi"/>
        </w:rPr>
        <w:t>, vol. 10, no. 9, pp. 1–13.</w:t>
      </w:r>
    </w:p>
    <w:p w14:paraId="2A9A8E3A" w14:textId="42D8422A"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[3]</w:t>
      </w:r>
      <w:r w:rsidRPr="00DC0CC2">
        <w:rPr>
          <w:rFonts w:asciiTheme="majorBidi" w:hAnsiTheme="majorBidi" w:cstheme="majorBidi"/>
        </w:rPr>
        <w:tab/>
        <w:t xml:space="preserve">L. Chaker, A. C. Bianco, J. Jonklaas, and R. P. Peeters, (2017) “Hypothyroidism,” </w:t>
      </w:r>
      <w:r w:rsidRPr="00DC0CC2">
        <w:rPr>
          <w:rFonts w:asciiTheme="majorBidi" w:hAnsiTheme="majorBidi" w:cstheme="majorBidi"/>
          <w:i/>
          <w:iCs/>
        </w:rPr>
        <w:t>Lancet</w:t>
      </w:r>
      <w:r w:rsidRPr="00DC0CC2">
        <w:rPr>
          <w:rFonts w:asciiTheme="majorBidi" w:hAnsiTheme="majorBidi" w:cstheme="majorBidi"/>
        </w:rPr>
        <w:t>, vol. 390, no. 10101, pp. 1550–1562.</w:t>
      </w:r>
      <w:r w:rsidR="0073551E" w:rsidRPr="00DC0CC2">
        <w:rPr>
          <w:sz w:val="24"/>
          <w:szCs w:val="24"/>
        </w:rPr>
        <w:t xml:space="preserve"> </w:t>
      </w:r>
      <w:r w:rsidR="0073551E" w:rsidRPr="00DC0CC2">
        <w:rPr>
          <w:rFonts w:asciiTheme="majorBidi" w:hAnsiTheme="majorBidi" w:cstheme="majorBidi"/>
        </w:rPr>
        <w:t>https://doi.org/10.1016/s0140-6736(17)30703-1</w:t>
      </w:r>
    </w:p>
    <w:p w14:paraId="064F13BA" w14:textId="0902B969"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[4]</w:t>
      </w:r>
      <w:r w:rsidRPr="00DC0CC2">
        <w:rPr>
          <w:rFonts w:asciiTheme="majorBidi" w:hAnsiTheme="majorBidi" w:cstheme="majorBidi"/>
        </w:rPr>
        <w:tab/>
        <w:t xml:space="preserve">J. R. Stockigt, “Free thyroid hormone measurement: A critical appraisal, (2001)” </w:t>
      </w:r>
      <w:r w:rsidRPr="00DC0CC2">
        <w:rPr>
          <w:rFonts w:asciiTheme="majorBidi" w:hAnsiTheme="majorBidi" w:cstheme="majorBidi"/>
          <w:i/>
          <w:iCs/>
        </w:rPr>
        <w:t>Endocrinol. Metab. Clin. North Am.</w:t>
      </w:r>
      <w:r w:rsidRPr="00DC0CC2">
        <w:rPr>
          <w:rFonts w:asciiTheme="majorBidi" w:hAnsiTheme="majorBidi" w:cstheme="majorBidi"/>
        </w:rPr>
        <w:t>, vol. 30, no. 2, pp. 265–289.</w:t>
      </w:r>
      <w:r w:rsidR="0073551E" w:rsidRPr="00DC0CC2">
        <w:rPr>
          <w:sz w:val="24"/>
          <w:szCs w:val="24"/>
        </w:rPr>
        <w:t xml:space="preserve"> </w:t>
      </w:r>
      <w:r w:rsidR="0073551E" w:rsidRPr="00DC0CC2">
        <w:rPr>
          <w:rFonts w:asciiTheme="majorBidi" w:hAnsiTheme="majorBidi" w:cstheme="majorBidi"/>
        </w:rPr>
        <w:t>https://doi.org/10.1016/s0889-8529(05)70187-0</w:t>
      </w:r>
    </w:p>
    <w:p w14:paraId="22B47314"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[5]</w:t>
      </w:r>
      <w:r w:rsidRPr="00DC0CC2">
        <w:rPr>
          <w:rFonts w:asciiTheme="majorBidi" w:hAnsiTheme="majorBidi" w:cstheme="majorBidi"/>
        </w:rPr>
        <w:tab/>
        <w:t xml:space="preserve">R. Wang, J. C. Nelson, R. M. Weiss, and R. B. Wilcox, (2000) “Accuracy of free thyroxine measurements across natural ranges of thyroxine binding to serum proteins,” </w:t>
      </w:r>
      <w:r w:rsidRPr="00DC0CC2">
        <w:rPr>
          <w:rFonts w:asciiTheme="majorBidi" w:hAnsiTheme="majorBidi" w:cstheme="majorBidi"/>
          <w:i/>
          <w:iCs/>
        </w:rPr>
        <w:t>Thyroid</w:t>
      </w:r>
      <w:r w:rsidRPr="00DC0CC2">
        <w:rPr>
          <w:rFonts w:asciiTheme="majorBidi" w:hAnsiTheme="majorBidi" w:cstheme="majorBidi"/>
        </w:rPr>
        <w:t>, vol. 10, no. 1, pp. 31–39.</w:t>
      </w:r>
    </w:p>
    <w:p w14:paraId="7FAF9C0E" w14:textId="1CF7AB0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[6]</w:t>
      </w:r>
      <w:r w:rsidRPr="00DC0CC2">
        <w:rPr>
          <w:rFonts w:asciiTheme="majorBidi" w:hAnsiTheme="majorBidi" w:cstheme="majorBidi"/>
        </w:rPr>
        <w:tab/>
        <w:t xml:space="preserve">M. S. Byerly </w:t>
      </w:r>
      <w:r w:rsidRPr="00DC0CC2">
        <w:rPr>
          <w:rFonts w:asciiTheme="majorBidi" w:hAnsiTheme="majorBidi" w:cstheme="majorBidi"/>
          <w:i/>
          <w:iCs/>
        </w:rPr>
        <w:t>et al.</w:t>
      </w:r>
      <w:r w:rsidRPr="00DC0CC2">
        <w:rPr>
          <w:rFonts w:asciiTheme="majorBidi" w:hAnsiTheme="majorBidi" w:cstheme="majorBidi"/>
        </w:rPr>
        <w:t xml:space="preserve">, (2013) “Identification of hypothalamic neuron-derived neurotrophic factor as a novel factor modulating appetite,” </w:t>
      </w:r>
      <w:r w:rsidRPr="00DC0CC2">
        <w:rPr>
          <w:rFonts w:asciiTheme="majorBidi" w:hAnsiTheme="majorBidi" w:cstheme="majorBidi"/>
          <w:i/>
          <w:iCs/>
        </w:rPr>
        <w:t>Am. J. Physiol. - Regul. Integr. Comp. Physiol.</w:t>
      </w:r>
      <w:r w:rsidRPr="00DC0CC2">
        <w:rPr>
          <w:rFonts w:asciiTheme="majorBidi" w:hAnsiTheme="majorBidi" w:cstheme="majorBidi"/>
        </w:rPr>
        <w:t>, vol. 304, no. 12, pp. 1085–1095.</w:t>
      </w:r>
      <w:r w:rsidR="0073551E" w:rsidRPr="00DC0CC2">
        <w:rPr>
          <w:sz w:val="24"/>
          <w:szCs w:val="24"/>
        </w:rPr>
        <w:t xml:space="preserve"> </w:t>
      </w:r>
      <w:r w:rsidR="0073551E" w:rsidRPr="00DC0CC2">
        <w:rPr>
          <w:rFonts w:asciiTheme="majorBidi" w:hAnsiTheme="majorBidi" w:cstheme="majorBidi"/>
        </w:rPr>
        <w:t>https://doi.org/10.1152%2Fajpregu.00368.2012</w:t>
      </w:r>
    </w:p>
    <w:p w14:paraId="0F02C478"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[7]</w:t>
      </w:r>
      <w:r w:rsidRPr="00DC0CC2">
        <w:rPr>
          <w:rFonts w:asciiTheme="majorBidi" w:hAnsiTheme="majorBidi" w:cstheme="majorBidi"/>
        </w:rPr>
        <w:tab/>
        <w:t xml:space="preserve">H. Y. Yasar, M. Demirpence, A. Colak, M. Zeytinli, E. Yasar, and A. Taylan, (2022) “Serum neudesin levels in patients with polycystic ovary syndrome,” </w:t>
      </w:r>
      <w:r w:rsidRPr="00DC0CC2">
        <w:rPr>
          <w:rFonts w:asciiTheme="majorBidi" w:hAnsiTheme="majorBidi" w:cstheme="majorBidi"/>
          <w:i/>
          <w:iCs/>
        </w:rPr>
        <w:t>Ginekol. Pol.</w:t>
      </w:r>
      <w:r w:rsidRPr="00DC0CC2">
        <w:rPr>
          <w:rFonts w:asciiTheme="majorBidi" w:hAnsiTheme="majorBidi" w:cstheme="majorBidi"/>
        </w:rPr>
        <w:t>, vol. 93, no. 7, pp. 525–530.</w:t>
      </w:r>
    </w:p>
    <w:p w14:paraId="7837DAF9" w14:textId="59B81DD5"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[8]</w:t>
      </w:r>
      <w:r w:rsidRPr="00DC0CC2">
        <w:rPr>
          <w:rFonts w:asciiTheme="majorBidi" w:hAnsiTheme="majorBidi" w:cstheme="majorBidi"/>
        </w:rPr>
        <w:tab/>
        <w:t xml:space="preserve">A. Polkowska, I. E. Pasierowska, M. Pasławska, E. Pawluczuk, and A. Bossowski, (2019) “Assessment of Serum Concentrations of Adropin, Afamin, and Neudesin in Children with Type 1 Diabetes,” </w:t>
      </w:r>
      <w:r w:rsidRPr="00DC0CC2">
        <w:rPr>
          <w:rFonts w:asciiTheme="majorBidi" w:hAnsiTheme="majorBidi" w:cstheme="majorBidi"/>
          <w:i/>
          <w:iCs/>
        </w:rPr>
        <w:t>Biomed Res. Int.</w:t>
      </w:r>
      <w:r w:rsidRPr="00DC0CC2">
        <w:rPr>
          <w:rFonts w:asciiTheme="majorBidi" w:hAnsiTheme="majorBidi" w:cstheme="majorBidi"/>
        </w:rPr>
        <w:t>, vol. 2019, p. 6.</w:t>
      </w:r>
      <w:r w:rsidR="00C12D7A" w:rsidRPr="00DC0CC2">
        <w:rPr>
          <w:sz w:val="24"/>
          <w:szCs w:val="24"/>
        </w:rPr>
        <w:t xml:space="preserve"> </w:t>
      </w:r>
      <w:r w:rsidR="00C12D7A" w:rsidRPr="00DC0CC2">
        <w:rPr>
          <w:rFonts w:asciiTheme="majorBidi" w:hAnsiTheme="majorBidi" w:cstheme="majorBidi"/>
        </w:rPr>
        <w:t>https://doi.org/10.1155/2019/6128410</w:t>
      </w:r>
    </w:p>
    <w:p w14:paraId="11D8892E" w14:textId="3D4A55CC"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[9]</w:t>
      </w:r>
      <w:r w:rsidRPr="00DC0CC2">
        <w:rPr>
          <w:rFonts w:asciiTheme="majorBidi" w:hAnsiTheme="majorBidi" w:cstheme="majorBidi"/>
        </w:rPr>
        <w:tab/>
        <w:t xml:space="preserve">E. Ç. Eren, S. Kaya, and D. Argun, (2022) “The assessment of maternal and umbilical cord neudesin levels in pregnancies with gestational diabetes mellitus,” </w:t>
      </w:r>
      <w:r w:rsidRPr="00DC0CC2">
        <w:rPr>
          <w:rFonts w:asciiTheme="majorBidi" w:hAnsiTheme="majorBidi" w:cstheme="majorBidi"/>
          <w:i/>
          <w:iCs/>
        </w:rPr>
        <w:t>J. Obstet. Gynaecol. (Lahore).</w:t>
      </w:r>
      <w:r w:rsidRPr="00DC0CC2">
        <w:rPr>
          <w:rFonts w:asciiTheme="majorBidi" w:hAnsiTheme="majorBidi" w:cstheme="majorBidi"/>
        </w:rPr>
        <w:t>, vol. 42, no. 7, pp. 2941–2945.</w:t>
      </w:r>
      <w:r w:rsidR="00C12D7A" w:rsidRPr="00DC0CC2">
        <w:rPr>
          <w:sz w:val="24"/>
          <w:szCs w:val="24"/>
        </w:rPr>
        <w:t xml:space="preserve"> </w:t>
      </w:r>
      <w:r w:rsidR="00C12D7A" w:rsidRPr="00DC0CC2">
        <w:rPr>
          <w:rFonts w:asciiTheme="majorBidi" w:hAnsiTheme="majorBidi" w:cstheme="majorBidi"/>
        </w:rPr>
        <w:t>http://dx.doi.org/10.3390/ijerph19063684</w:t>
      </w:r>
    </w:p>
    <w:p w14:paraId="3B1373F7" w14:textId="1C98FED9" w:rsidR="00AB6BAC" w:rsidRPr="00DC0CC2" w:rsidRDefault="00AB6BAC" w:rsidP="003760E2">
      <w:pPr>
        <w:spacing w:line="276" w:lineRule="auto"/>
        <w:ind w:left="426" w:hanging="426"/>
        <w:jc w:val="both"/>
        <w:rPr>
          <w:rFonts w:asciiTheme="majorBidi" w:hAnsiTheme="majorBidi" w:cstheme="majorBidi"/>
        </w:rPr>
      </w:pPr>
      <w:r w:rsidRPr="00DC0CC2">
        <w:rPr>
          <w:rFonts w:asciiTheme="majorBidi" w:hAnsiTheme="majorBidi" w:cstheme="majorBidi"/>
        </w:rPr>
        <w:t>[10]</w:t>
      </w:r>
      <w:r w:rsidRPr="00DC0CC2">
        <w:rPr>
          <w:rFonts w:asciiTheme="majorBidi" w:hAnsiTheme="majorBidi" w:cstheme="majorBidi"/>
        </w:rPr>
        <w:tab/>
        <w:t xml:space="preserve">G. J. Canaris, N. R. Manowitz, G. Mayor, and E. C. Ridgway, (2000) “The colorado thyroid disease prevalence study,” </w:t>
      </w:r>
      <w:r w:rsidRPr="00DC0CC2">
        <w:rPr>
          <w:rFonts w:asciiTheme="majorBidi" w:hAnsiTheme="majorBidi" w:cstheme="majorBidi"/>
          <w:i/>
          <w:iCs/>
        </w:rPr>
        <w:t>Arch. Intern. Med.</w:t>
      </w:r>
      <w:r w:rsidRPr="00DC0CC2">
        <w:rPr>
          <w:rFonts w:asciiTheme="majorBidi" w:hAnsiTheme="majorBidi" w:cstheme="majorBidi"/>
        </w:rPr>
        <w:t xml:space="preserve">, vol. 160, no. </w:t>
      </w:r>
      <w:r w:rsidRPr="00DC0CC2">
        <w:rPr>
          <w:rFonts w:asciiTheme="majorBidi" w:hAnsiTheme="majorBidi" w:cstheme="majorBidi"/>
        </w:rPr>
        <w:lastRenderedPageBreak/>
        <w:t>4, pp. 526–534.</w:t>
      </w:r>
      <w:r w:rsidR="003760E2">
        <w:rPr>
          <w:sz w:val="24"/>
          <w:szCs w:val="24"/>
        </w:rPr>
        <w:t xml:space="preserve"> </w:t>
      </w:r>
      <w:r w:rsidR="00BA1439" w:rsidRPr="00DC0CC2">
        <w:rPr>
          <w:rFonts w:asciiTheme="majorBidi" w:hAnsiTheme="majorBidi" w:cstheme="majorBidi"/>
        </w:rPr>
        <w:t>https://doi.org/10.1001/archinte.160.4.526</w:t>
      </w:r>
    </w:p>
    <w:p w14:paraId="7454A4CB" w14:textId="32570E4A"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[11]</w:t>
      </w:r>
      <w:r w:rsidRPr="00DC0CC2">
        <w:rPr>
          <w:rFonts w:asciiTheme="majorBidi" w:hAnsiTheme="majorBidi" w:cstheme="majorBidi"/>
        </w:rPr>
        <w:tab/>
        <w:t xml:space="preserve">L. H. Duntas, (2002) “Thyroid disease and lipids,” </w:t>
      </w:r>
      <w:r w:rsidRPr="00DC0CC2">
        <w:rPr>
          <w:rFonts w:asciiTheme="majorBidi" w:hAnsiTheme="majorBidi" w:cstheme="majorBidi"/>
          <w:i/>
          <w:iCs/>
        </w:rPr>
        <w:t>Thyroid</w:t>
      </w:r>
      <w:r w:rsidRPr="00DC0CC2">
        <w:rPr>
          <w:rFonts w:asciiTheme="majorBidi" w:hAnsiTheme="majorBidi" w:cstheme="majorBidi"/>
        </w:rPr>
        <w:t>, vol. 12, no. 4, pp. 287–293.</w:t>
      </w:r>
      <w:r w:rsidR="00BA1439" w:rsidRPr="00DC0CC2">
        <w:rPr>
          <w:sz w:val="24"/>
          <w:szCs w:val="24"/>
        </w:rPr>
        <w:t xml:space="preserve"> </w:t>
      </w:r>
      <w:r w:rsidR="00BA1439" w:rsidRPr="00DC0CC2">
        <w:rPr>
          <w:rFonts w:asciiTheme="majorBidi" w:hAnsiTheme="majorBidi" w:cstheme="majorBidi"/>
        </w:rPr>
        <w:t>https://doi.org/10.1089/10507250252949405</w:t>
      </w:r>
    </w:p>
    <w:p w14:paraId="6E42E652"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[12]</w:t>
      </w:r>
      <w:r w:rsidRPr="00DC0CC2">
        <w:rPr>
          <w:rFonts w:asciiTheme="majorBidi" w:hAnsiTheme="majorBidi" w:cstheme="majorBidi"/>
        </w:rPr>
        <w:tab/>
        <w:t xml:space="preserve">D. V. Kumar, D. S. L. Mathur, and D. R. K. Tuteja, (2019) “Effects of Thyroid Dysfunction on Lipid Profile,” </w:t>
      </w:r>
      <w:r w:rsidRPr="00DC0CC2">
        <w:rPr>
          <w:rFonts w:asciiTheme="majorBidi" w:hAnsiTheme="majorBidi" w:cstheme="majorBidi"/>
          <w:i/>
          <w:iCs/>
        </w:rPr>
        <w:t>Int. J. Med. Biomed. Stud.</w:t>
      </w:r>
      <w:r w:rsidRPr="00DC0CC2">
        <w:rPr>
          <w:rFonts w:asciiTheme="majorBidi" w:hAnsiTheme="majorBidi" w:cstheme="majorBidi"/>
        </w:rPr>
        <w:t>, vol. 3, no. 6, pp. 76–84.</w:t>
      </w:r>
    </w:p>
    <w:p w14:paraId="178ACB42"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[13]</w:t>
      </w:r>
      <w:r w:rsidRPr="00DC0CC2">
        <w:rPr>
          <w:rFonts w:asciiTheme="majorBidi" w:hAnsiTheme="majorBidi" w:cstheme="majorBidi"/>
        </w:rPr>
        <w:tab/>
        <w:t xml:space="preserve">S. F. Tuleab Alaaraji, (2019) “Exploration of the Relationship between Interleukins 17, 37 and 38 with Vitamin E in Iraqi Men with CHB,” </w:t>
      </w:r>
      <w:r w:rsidRPr="00DC0CC2">
        <w:rPr>
          <w:rFonts w:asciiTheme="majorBidi" w:hAnsiTheme="majorBidi" w:cstheme="majorBidi"/>
          <w:i/>
          <w:iCs/>
        </w:rPr>
        <w:t>J. Phys. Conf. Ser.</w:t>
      </w:r>
      <w:r w:rsidRPr="00DC0CC2">
        <w:rPr>
          <w:rFonts w:asciiTheme="majorBidi" w:hAnsiTheme="majorBidi" w:cstheme="majorBidi"/>
        </w:rPr>
        <w:t>, vol. 1294, no. 5.</w:t>
      </w:r>
    </w:p>
    <w:p w14:paraId="42A45301"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[14]</w:t>
      </w:r>
      <w:r w:rsidRPr="00DC0CC2">
        <w:rPr>
          <w:rFonts w:asciiTheme="majorBidi" w:hAnsiTheme="majorBidi" w:cstheme="majorBidi"/>
        </w:rPr>
        <w:tab/>
        <w:t xml:space="preserve">K. F. Al-Rawi </w:t>
      </w:r>
      <w:r w:rsidRPr="00DC0CC2">
        <w:rPr>
          <w:rFonts w:asciiTheme="majorBidi" w:hAnsiTheme="majorBidi" w:cstheme="majorBidi"/>
          <w:i/>
          <w:iCs/>
        </w:rPr>
        <w:t>et al.</w:t>
      </w:r>
      <w:r w:rsidRPr="00DC0CC2">
        <w:rPr>
          <w:rFonts w:asciiTheme="majorBidi" w:hAnsiTheme="majorBidi" w:cstheme="majorBidi"/>
        </w:rPr>
        <w:t xml:space="preserve">, (2022) “Relationship Between IL-2, IL-17 Concentrations, and Serum Creatinine Levels in Men with Chronic Kidney Diseases,” </w:t>
      </w:r>
      <w:r w:rsidRPr="00DC0CC2">
        <w:rPr>
          <w:rFonts w:asciiTheme="majorBidi" w:hAnsiTheme="majorBidi" w:cstheme="majorBidi"/>
          <w:i/>
          <w:iCs/>
        </w:rPr>
        <w:t>Reports Biochem. Mol. Biol.</w:t>
      </w:r>
      <w:r w:rsidRPr="00DC0CC2">
        <w:rPr>
          <w:rFonts w:asciiTheme="majorBidi" w:hAnsiTheme="majorBidi" w:cstheme="majorBidi"/>
        </w:rPr>
        <w:t>, vol. 10, no. 4, pp. 664–674.</w:t>
      </w:r>
    </w:p>
    <w:p w14:paraId="351137C3"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[15]</w:t>
      </w:r>
      <w:r w:rsidRPr="00DC0CC2">
        <w:rPr>
          <w:rFonts w:asciiTheme="majorBidi" w:hAnsiTheme="majorBidi" w:cstheme="majorBidi"/>
        </w:rPr>
        <w:tab/>
        <w:t xml:space="preserve">T. V. T. Tran, C. M. Kitahara, F. de Vathaire, M. C. Boutron-Ruault, and N. Journy, (2020) “Thyroid dysfunction and cancer incidence: a systematic review and meta-analysis,” </w:t>
      </w:r>
      <w:r w:rsidRPr="00DC0CC2">
        <w:rPr>
          <w:rFonts w:asciiTheme="majorBidi" w:hAnsiTheme="majorBidi" w:cstheme="majorBidi"/>
          <w:i/>
          <w:iCs/>
        </w:rPr>
        <w:t>Endocr. Relat. Cancer</w:t>
      </w:r>
      <w:r w:rsidRPr="00DC0CC2">
        <w:rPr>
          <w:rFonts w:asciiTheme="majorBidi" w:hAnsiTheme="majorBidi" w:cstheme="majorBidi"/>
        </w:rPr>
        <w:t>, vol. 27, no. 4, pp. 245–249.</w:t>
      </w:r>
    </w:p>
    <w:p w14:paraId="70950AFB" w14:textId="68FF543A"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lastRenderedPageBreak/>
        <w:t>[16]</w:t>
      </w:r>
      <w:r w:rsidRPr="00DC0CC2">
        <w:rPr>
          <w:rFonts w:asciiTheme="majorBidi" w:hAnsiTheme="majorBidi" w:cstheme="majorBidi"/>
        </w:rPr>
        <w:tab/>
        <w:t>H. Münzberg and L. Receptor, (2010) “Leptin-Signaling Pathways and Leptin Resistance Leptin Action in the Central Nervous System,” vol. 63, pp. 123–132.</w:t>
      </w:r>
      <w:r w:rsidR="00BA1439" w:rsidRPr="00DC0CC2">
        <w:rPr>
          <w:sz w:val="24"/>
          <w:szCs w:val="24"/>
        </w:rPr>
        <w:t xml:space="preserve"> </w:t>
      </w:r>
      <w:r w:rsidR="00BA1439" w:rsidRPr="00DC0CC2">
        <w:rPr>
          <w:rFonts w:asciiTheme="majorBidi" w:hAnsiTheme="majorBidi" w:cstheme="majorBidi"/>
        </w:rPr>
        <w:t>https://doi.org/10.1159/000264400</w:t>
      </w:r>
    </w:p>
    <w:p w14:paraId="20D3228A"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[17]</w:t>
      </w:r>
      <w:r w:rsidRPr="00DC0CC2">
        <w:rPr>
          <w:rFonts w:asciiTheme="majorBidi" w:hAnsiTheme="majorBidi" w:cstheme="majorBidi"/>
        </w:rPr>
        <w:tab/>
        <w:t xml:space="preserve">S. A. W. A.-S. Abdul Hadeel, (2022) “Neudesin Levels in Patients with Thyroidism,” </w:t>
      </w:r>
      <w:r w:rsidRPr="00DC0CC2">
        <w:rPr>
          <w:rFonts w:asciiTheme="majorBidi" w:hAnsiTheme="majorBidi" w:cstheme="majorBidi"/>
          <w:i/>
          <w:iCs/>
        </w:rPr>
        <w:t>Egypt. J. Hosp. Med.</w:t>
      </w:r>
      <w:r w:rsidRPr="00DC0CC2">
        <w:rPr>
          <w:rFonts w:asciiTheme="majorBidi" w:hAnsiTheme="majorBidi" w:cstheme="majorBidi"/>
        </w:rPr>
        <w:t>, vol. 89, no. October, pp. 7809–7813.</w:t>
      </w:r>
    </w:p>
    <w:p w14:paraId="5EE0DC93" w14:textId="7777777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[18]</w:t>
      </w:r>
      <w:r w:rsidRPr="00DC0CC2">
        <w:rPr>
          <w:rFonts w:asciiTheme="majorBidi" w:hAnsiTheme="majorBidi" w:cstheme="majorBidi"/>
        </w:rPr>
        <w:tab/>
        <w:t xml:space="preserve">G. Bozkaya, O. Fenercioglu, İ. Demir, A. Guler, B. Aslanipour, and M. Calan, (2020) “Neudesin: a neuropeptide hormone decreased in subjects with polycystic ovary syndrome,” </w:t>
      </w:r>
      <w:r w:rsidRPr="00DC0CC2">
        <w:rPr>
          <w:rFonts w:asciiTheme="majorBidi" w:hAnsiTheme="majorBidi" w:cstheme="majorBidi"/>
          <w:i/>
          <w:iCs/>
        </w:rPr>
        <w:t>Gynecol. Endocrinol.</w:t>
      </w:r>
      <w:r w:rsidRPr="00DC0CC2">
        <w:rPr>
          <w:rFonts w:asciiTheme="majorBidi" w:hAnsiTheme="majorBidi" w:cstheme="majorBidi"/>
        </w:rPr>
        <w:t>, vol. 36, no. 10, pp. 849–853.</w:t>
      </w:r>
    </w:p>
    <w:p w14:paraId="737AE870" w14:textId="35417947" w:rsidR="00AB6BAC" w:rsidRPr="00DC0CC2"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[19]</w:t>
      </w:r>
      <w:r w:rsidRPr="00DC0CC2">
        <w:rPr>
          <w:rFonts w:asciiTheme="majorBidi" w:hAnsiTheme="majorBidi" w:cstheme="majorBidi"/>
        </w:rPr>
        <w:tab/>
        <w:t xml:space="preserve">E. Vergani, C. Bruno, C. Cipolla, D. Currò, and A. Mancini, (2022) “Plasma Levels of Neudesin and Glucose Metabolism in Obese and Overweight Children,” </w:t>
      </w:r>
      <w:r w:rsidRPr="00DC0CC2">
        <w:rPr>
          <w:rFonts w:asciiTheme="majorBidi" w:hAnsiTheme="majorBidi" w:cstheme="majorBidi"/>
          <w:i/>
          <w:iCs/>
        </w:rPr>
        <w:t>Front. Endocrinol. (Lausanne).</w:t>
      </w:r>
      <w:r w:rsidRPr="00DC0CC2">
        <w:rPr>
          <w:rFonts w:asciiTheme="majorBidi" w:hAnsiTheme="majorBidi" w:cstheme="majorBidi"/>
        </w:rPr>
        <w:t>, vol. 13, no. July, pp. 1–7.</w:t>
      </w:r>
      <w:r w:rsidR="00BA1439" w:rsidRPr="00DC0CC2">
        <w:rPr>
          <w:sz w:val="24"/>
          <w:szCs w:val="24"/>
        </w:rPr>
        <w:t xml:space="preserve"> </w:t>
      </w:r>
      <w:r w:rsidR="00BA1439" w:rsidRPr="00DC0CC2">
        <w:rPr>
          <w:rFonts w:asciiTheme="majorBidi" w:hAnsiTheme="majorBidi" w:cstheme="majorBidi"/>
        </w:rPr>
        <w:t>https://doi.org/10.3389/fendo.2022.881524</w:t>
      </w:r>
    </w:p>
    <w:p w14:paraId="4D340640" w14:textId="77777777" w:rsidR="00AB6BAC" w:rsidRDefault="00AB6BAC" w:rsidP="00DC0CC2">
      <w:pPr>
        <w:spacing w:line="276" w:lineRule="auto"/>
        <w:ind w:left="426" w:hanging="426"/>
        <w:jc w:val="both"/>
        <w:rPr>
          <w:rFonts w:asciiTheme="majorBidi" w:hAnsiTheme="majorBidi" w:cstheme="majorBidi"/>
        </w:rPr>
      </w:pPr>
      <w:r w:rsidRPr="00DC0CC2">
        <w:rPr>
          <w:rFonts w:asciiTheme="majorBidi" w:hAnsiTheme="majorBidi" w:cstheme="majorBidi"/>
        </w:rPr>
        <w:t>[20]</w:t>
      </w:r>
      <w:r w:rsidRPr="00DC0CC2">
        <w:rPr>
          <w:rFonts w:asciiTheme="majorBidi" w:hAnsiTheme="majorBidi" w:cstheme="majorBidi"/>
        </w:rPr>
        <w:tab/>
        <w:t xml:space="preserve">T. Friis and L. R. Pedersen, (1987) “Serum lipids in hyper- and hypothyroidism before and after treatment,” </w:t>
      </w:r>
      <w:r w:rsidRPr="00DC0CC2">
        <w:rPr>
          <w:rFonts w:asciiTheme="majorBidi" w:hAnsiTheme="majorBidi" w:cstheme="majorBidi"/>
          <w:i/>
          <w:iCs/>
        </w:rPr>
        <w:t>Clin. Chim. Acta</w:t>
      </w:r>
      <w:r w:rsidRPr="00DC0CC2">
        <w:rPr>
          <w:rFonts w:asciiTheme="majorBidi" w:hAnsiTheme="majorBidi" w:cstheme="majorBidi"/>
        </w:rPr>
        <w:t>, vol. 162, no. 2, pp. 155–163.</w:t>
      </w:r>
    </w:p>
    <w:p w14:paraId="78DA7E5D" w14:textId="77777777" w:rsidR="003760E2" w:rsidRPr="00DC0CC2" w:rsidRDefault="003760E2" w:rsidP="00DC0CC2">
      <w:pPr>
        <w:spacing w:line="276" w:lineRule="auto"/>
        <w:ind w:left="426" w:hanging="426"/>
        <w:jc w:val="both"/>
        <w:rPr>
          <w:rFonts w:asciiTheme="majorBidi" w:hAnsiTheme="majorBidi" w:cstheme="majorBidi"/>
        </w:rPr>
      </w:pPr>
    </w:p>
    <w:p w14:paraId="25791A25" w14:textId="77777777" w:rsidR="003760E2" w:rsidRDefault="00AB6BAC" w:rsidP="00DC0CC2">
      <w:pPr>
        <w:bidi/>
        <w:spacing w:line="276" w:lineRule="auto"/>
        <w:ind w:left="426" w:hanging="426"/>
        <w:jc w:val="center"/>
        <w:rPr>
          <w:rFonts w:asciiTheme="majorBidi" w:hAnsiTheme="majorBidi" w:cs="Times New Roman"/>
          <w:b/>
          <w:bCs/>
          <w:sz w:val="32"/>
          <w:szCs w:val="32"/>
          <w:rtl/>
        </w:rPr>
        <w:sectPr w:rsidR="003760E2" w:rsidSect="003760E2">
          <w:type w:val="continuous"/>
          <w:pgSz w:w="12240" w:h="15840"/>
          <w:pgMar w:top="680" w:right="765" w:bottom="652" w:left="709" w:header="720" w:footer="403" w:gutter="0"/>
          <w:cols w:num="2" w:space="720"/>
          <w:docGrid w:linePitch="360"/>
        </w:sectPr>
      </w:pPr>
      <w:r w:rsidRPr="00DC0CC2">
        <w:rPr>
          <w:rFonts w:asciiTheme="majorBidi" w:hAnsiTheme="majorBidi" w:cstheme="majorBidi"/>
        </w:rPr>
        <w:fldChar w:fldCharType="end"/>
      </w:r>
    </w:p>
    <w:p w14:paraId="35FA838E" w14:textId="77777777" w:rsidR="00E25D39" w:rsidRDefault="00E25D39" w:rsidP="00E25D39">
      <w:pPr>
        <w:bidi/>
        <w:spacing w:line="276" w:lineRule="auto"/>
        <w:ind w:left="426" w:hanging="426"/>
        <w:jc w:val="center"/>
        <w:rPr>
          <w:rFonts w:asciiTheme="majorBidi" w:hAnsiTheme="majorBidi" w:cs="Times New Roman"/>
          <w:b/>
          <w:bCs/>
          <w:sz w:val="32"/>
          <w:szCs w:val="32"/>
          <w:rtl/>
        </w:rPr>
      </w:pPr>
    </w:p>
    <w:p w14:paraId="6595BF64" w14:textId="712EA4E7" w:rsidR="00DF0957" w:rsidRPr="00DC0CC2" w:rsidRDefault="00BA1439" w:rsidP="00E25D39">
      <w:pPr>
        <w:bidi/>
        <w:spacing w:line="276" w:lineRule="auto"/>
        <w:ind w:left="426" w:hanging="426"/>
        <w:jc w:val="center"/>
        <w:rPr>
          <w:rFonts w:asciiTheme="majorBidi" w:hAnsiTheme="majorBidi" w:cs="Times New Roman"/>
          <w:b/>
          <w:bCs/>
          <w:sz w:val="32"/>
          <w:szCs w:val="32"/>
          <w:rtl/>
        </w:rPr>
      </w:pPr>
      <w:r w:rsidRPr="00DC0CC2">
        <w:rPr>
          <w:rFonts w:asciiTheme="majorBidi" w:hAnsiTheme="majorBidi" w:cs="Times New Roman"/>
          <w:b/>
          <w:bCs/>
          <w:sz w:val="32"/>
          <w:szCs w:val="32"/>
          <w:rtl/>
        </w:rPr>
        <w:t xml:space="preserve">دراسة </w:t>
      </w:r>
      <w:r w:rsidR="006D2448" w:rsidRPr="00DC0CC2">
        <w:rPr>
          <w:rFonts w:asciiTheme="majorBidi" w:hAnsiTheme="majorBidi" w:cs="Times New Roman" w:hint="cs"/>
          <w:b/>
          <w:bCs/>
          <w:sz w:val="32"/>
          <w:szCs w:val="32"/>
          <w:rtl/>
        </w:rPr>
        <w:t>مصل</w:t>
      </w:r>
      <w:r w:rsidRPr="00DC0CC2">
        <w:rPr>
          <w:rFonts w:asciiTheme="majorBidi" w:hAnsiTheme="majorBidi" w:cs="Times New Roman"/>
          <w:b/>
          <w:bCs/>
          <w:sz w:val="32"/>
          <w:szCs w:val="32"/>
          <w:rtl/>
        </w:rPr>
        <w:t xml:space="preserve"> </w:t>
      </w:r>
      <w:proofErr w:type="spellStart"/>
      <w:r w:rsidR="006D2448" w:rsidRPr="00DC0CC2">
        <w:rPr>
          <w:rFonts w:asciiTheme="majorBidi" w:hAnsiTheme="majorBidi" w:cs="Times New Roman"/>
          <w:b/>
          <w:bCs/>
          <w:sz w:val="32"/>
          <w:szCs w:val="32"/>
          <w:rtl/>
        </w:rPr>
        <w:t>النيوديسين</w:t>
      </w:r>
      <w:proofErr w:type="spellEnd"/>
      <w:r w:rsidR="006D2448" w:rsidRPr="00DC0CC2">
        <w:rPr>
          <w:rFonts w:asciiTheme="majorBidi" w:hAnsiTheme="majorBidi" w:cs="Times New Roman"/>
          <w:b/>
          <w:bCs/>
          <w:sz w:val="32"/>
          <w:szCs w:val="32"/>
          <w:rtl/>
        </w:rPr>
        <w:t xml:space="preserve"> </w:t>
      </w:r>
      <w:r w:rsidR="006D2448" w:rsidRPr="00DC0CC2">
        <w:rPr>
          <w:rFonts w:asciiTheme="majorBidi" w:hAnsiTheme="majorBidi" w:cs="Times New Roman" w:hint="cs"/>
          <w:b/>
          <w:bCs/>
          <w:sz w:val="32"/>
          <w:szCs w:val="32"/>
          <w:rtl/>
        </w:rPr>
        <w:t>لدى</w:t>
      </w:r>
      <w:r w:rsidRPr="00DC0CC2">
        <w:rPr>
          <w:rFonts w:asciiTheme="majorBidi" w:hAnsiTheme="majorBidi" w:cs="Times New Roman"/>
          <w:b/>
          <w:bCs/>
          <w:sz w:val="32"/>
          <w:szCs w:val="32"/>
          <w:rtl/>
        </w:rPr>
        <w:t xml:space="preserve"> مرضى الغدة الدرقية </w:t>
      </w:r>
      <w:r w:rsidR="006D2448" w:rsidRPr="00DC0CC2">
        <w:rPr>
          <w:rFonts w:asciiTheme="majorBidi" w:hAnsiTheme="majorBidi" w:cs="Times New Roman" w:hint="cs"/>
          <w:b/>
          <w:bCs/>
          <w:sz w:val="32"/>
          <w:szCs w:val="32"/>
          <w:rtl/>
        </w:rPr>
        <w:t xml:space="preserve">في </w:t>
      </w:r>
      <w:r w:rsidRPr="00DC0CC2">
        <w:rPr>
          <w:rFonts w:asciiTheme="majorBidi" w:hAnsiTheme="majorBidi" w:cs="Times New Roman"/>
          <w:b/>
          <w:bCs/>
          <w:sz w:val="32"/>
          <w:szCs w:val="32"/>
          <w:rtl/>
        </w:rPr>
        <w:t>العراق</w:t>
      </w:r>
    </w:p>
    <w:p w14:paraId="1E5FEAF9" w14:textId="5226CFB0" w:rsidR="001E2182" w:rsidRPr="00DC0CC2" w:rsidRDefault="006D2448" w:rsidP="00E25D39">
      <w:pPr>
        <w:bidi/>
        <w:spacing w:line="276" w:lineRule="auto"/>
        <w:jc w:val="center"/>
        <w:rPr>
          <w:rFonts w:asciiTheme="majorBidi" w:hAnsiTheme="majorBidi" w:cstheme="majorBidi"/>
          <w:b/>
          <w:bCs/>
          <w:i/>
          <w:iCs/>
          <w:color w:val="000000"/>
          <w:sz w:val="24"/>
          <w:szCs w:val="24"/>
          <w:rtl/>
          <w:lang w:bidi="ar-IQ"/>
        </w:rPr>
      </w:pPr>
      <w:r w:rsidRPr="00DC0CC2">
        <w:rPr>
          <w:rFonts w:asciiTheme="majorBidi" w:hAnsiTheme="majorBidi" w:cstheme="majorBidi" w:hint="cs"/>
          <w:b/>
          <w:bCs/>
          <w:color w:val="000000"/>
          <w:sz w:val="24"/>
          <w:szCs w:val="24"/>
          <w:rtl/>
        </w:rPr>
        <w:t>ضحى ابراهيم الجميلي</w:t>
      </w:r>
      <w:r w:rsidR="001E2182" w:rsidRPr="00DC0CC2">
        <w:rPr>
          <w:rFonts w:asciiTheme="majorBidi" w:eastAsia="Times New Roman" w:hAnsiTheme="majorBidi" w:cstheme="majorBidi"/>
          <w:b/>
          <w:bCs/>
          <w:sz w:val="24"/>
          <w:szCs w:val="24"/>
          <w:vertAlign w:val="superscript"/>
        </w:rPr>
        <w:t>*</w:t>
      </w:r>
      <w:r w:rsidR="00E25D39">
        <w:rPr>
          <w:rFonts w:asciiTheme="majorBidi" w:hAnsiTheme="majorBidi" w:cstheme="majorBidi" w:hint="cs"/>
          <w:b/>
          <w:bCs/>
          <w:color w:val="000000"/>
          <w:sz w:val="24"/>
          <w:szCs w:val="24"/>
          <w:rtl/>
          <w:lang w:bidi="ar-IQ"/>
        </w:rPr>
        <w:t xml:space="preserve">  ، </w:t>
      </w:r>
      <w:r w:rsidR="001E2182" w:rsidRPr="00DC0CC2">
        <w:rPr>
          <w:rFonts w:asciiTheme="majorBidi" w:hAnsiTheme="majorBidi" w:cstheme="majorBidi"/>
          <w:b/>
          <w:bCs/>
          <w:color w:val="000000"/>
          <w:sz w:val="24"/>
          <w:szCs w:val="24"/>
          <w:rtl/>
        </w:rPr>
        <w:t xml:space="preserve"> </w:t>
      </w:r>
      <w:r w:rsidR="00DF0957" w:rsidRPr="00DC0CC2">
        <w:rPr>
          <w:rFonts w:asciiTheme="majorBidi" w:hAnsiTheme="majorBidi" w:cstheme="majorBidi"/>
          <w:b/>
          <w:bCs/>
          <w:color w:val="000000"/>
          <w:sz w:val="24"/>
          <w:szCs w:val="24"/>
          <w:rtl/>
        </w:rPr>
        <w:t>شاكر فارس الاعرجي</w:t>
      </w:r>
      <w:r w:rsidR="001E2182" w:rsidRPr="00DC0CC2">
        <w:rPr>
          <w:rFonts w:asciiTheme="majorBidi" w:hAnsiTheme="majorBidi" w:cstheme="majorBidi"/>
          <w:b/>
          <w:bCs/>
          <w:color w:val="000000"/>
          <w:sz w:val="24"/>
          <w:szCs w:val="24"/>
          <w:rtl/>
        </w:rPr>
        <w:t xml:space="preserve"> </w:t>
      </w:r>
    </w:p>
    <w:p w14:paraId="60C620AE" w14:textId="019DD7E1" w:rsidR="001E2182" w:rsidRPr="00D60754" w:rsidRDefault="001E2182" w:rsidP="00E25D39">
      <w:pPr>
        <w:bidi/>
        <w:spacing w:line="276" w:lineRule="auto"/>
        <w:jc w:val="center"/>
        <w:rPr>
          <w:rFonts w:asciiTheme="majorBidi" w:hAnsiTheme="majorBidi" w:cstheme="majorBidi"/>
          <w:color w:val="000000"/>
          <w:rtl/>
          <w:lang w:bidi="ar-IQ"/>
        </w:rPr>
      </w:pPr>
      <w:r w:rsidRPr="00D60754">
        <w:rPr>
          <w:rFonts w:asciiTheme="majorBidi" w:hAnsiTheme="majorBidi" w:cstheme="majorBidi"/>
          <w:color w:val="000000"/>
          <w:rtl/>
          <w:lang w:bidi="ar-IQ"/>
        </w:rPr>
        <w:t xml:space="preserve"> قسم الكيمياء ، كلية التربية للعلوم الصرفة ، جامعة الانبار ، العراق</w:t>
      </w:r>
      <w:r w:rsidRPr="00D60754">
        <w:rPr>
          <w:rFonts w:asciiTheme="majorBidi" w:hAnsiTheme="majorBidi" w:cstheme="majorBidi"/>
          <w:color w:val="000000"/>
          <w:rtl/>
          <w:lang w:bidi="ar-IQ"/>
        </w:rPr>
        <w:br/>
      </w:r>
    </w:p>
    <w:p w14:paraId="4D463365" w14:textId="77777777" w:rsidR="00C95830" w:rsidRPr="00DC0CC2" w:rsidRDefault="00C95830" w:rsidP="00C95830">
      <w:pPr>
        <w:tabs>
          <w:tab w:val="left" w:pos="9500"/>
        </w:tabs>
        <w:bidi/>
        <w:spacing w:line="360" w:lineRule="auto"/>
        <w:jc w:val="both"/>
        <w:rPr>
          <w:rFonts w:asciiTheme="majorBidi" w:hAnsiTheme="majorBidi" w:cstheme="majorBidi"/>
          <w:b/>
          <w:bCs/>
          <w:rtl/>
        </w:rPr>
      </w:pPr>
      <w:r w:rsidRPr="00DC0CC2">
        <w:rPr>
          <w:rFonts w:asciiTheme="majorBidi" w:hAnsiTheme="majorBidi" w:cstheme="majorBidi"/>
          <w:b/>
          <w:bCs/>
          <w:rtl/>
        </w:rPr>
        <w:t>الخلاصة:</w:t>
      </w:r>
    </w:p>
    <w:p w14:paraId="6D08E2A0" w14:textId="2D5D491F" w:rsidR="001603F5" w:rsidRPr="00DC0CC2" w:rsidRDefault="00D322C3" w:rsidP="00DC0CC2">
      <w:pPr>
        <w:tabs>
          <w:tab w:val="left" w:pos="9500"/>
        </w:tabs>
        <w:bidi/>
        <w:spacing w:line="276" w:lineRule="auto"/>
        <w:ind w:firstLine="582"/>
        <w:jc w:val="both"/>
        <w:rPr>
          <w:rFonts w:asciiTheme="majorBidi" w:hAnsiTheme="majorBidi" w:cs="Times New Roman"/>
          <w:rtl/>
        </w:rPr>
      </w:pPr>
      <w:r w:rsidRPr="00DC0CC2">
        <w:rPr>
          <w:rFonts w:asciiTheme="majorBidi" w:hAnsiTheme="majorBidi" w:cs="Times New Roman"/>
          <w:rtl/>
        </w:rPr>
        <w:t>تعتبر اضطرابات الغدة الدرقية (</w:t>
      </w:r>
      <w:r w:rsidRPr="00DC0CC2">
        <w:rPr>
          <w:rFonts w:asciiTheme="majorBidi" w:hAnsiTheme="majorBidi" w:cstheme="majorBidi"/>
        </w:rPr>
        <w:t>TDs</w:t>
      </w:r>
      <w:r w:rsidRPr="00DC0CC2">
        <w:rPr>
          <w:rFonts w:asciiTheme="majorBidi" w:hAnsiTheme="majorBidi" w:cs="Times New Roman"/>
          <w:rtl/>
        </w:rPr>
        <w:t xml:space="preserve">) أكثر أمراض الغدد الصماء شيوعًا ، خاصة عند النساء. تشير عبارة "قصور الغدة الدرقية" إلى مجموعة متنوعة من الأمراض التي تصيب الغدة الدرقية وهرموناتها. تهدف هذه الدراسة إلى مقارنة مستويات مصل </w:t>
      </w:r>
      <w:proofErr w:type="spellStart"/>
      <w:r w:rsidRPr="00DC0CC2">
        <w:rPr>
          <w:rFonts w:asciiTheme="majorBidi" w:hAnsiTheme="majorBidi" w:cs="Times New Roman"/>
          <w:rtl/>
        </w:rPr>
        <w:t>النيوديسين</w:t>
      </w:r>
      <w:proofErr w:type="spellEnd"/>
      <w:r w:rsidRPr="00DC0CC2">
        <w:rPr>
          <w:rFonts w:asciiTheme="majorBidi" w:hAnsiTheme="majorBidi" w:cs="Times New Roman"/>
          <w:rtl/>
        </w:rPr>
        <w:t xml:space="preserve"> وخصائص الدهون لدى الأشخاص الذين يعانون من اختلال وظيفي في الغدة الدرقية والذين لا يعانون منها. اشتملت الدراسة على 56 مريضًا من مرضى </w:t>
      </w:r>
      <w:r w:rsidRPr="00DC0CC2">
        <w:rPr>
          <w:rFonts w:asciiTheme="majorBidi" w:hAnsiTheme="majorBidi" w:cstheme="majorBidi"/>
        </w:rPr>
        <w:t>TDs</w:t>
      </w:r>
      <w:r w:rsidRPr="00DC0CC2">
        <w:rPr>
          <w:rFonts w:asciiTheme="majorBidi" w:hAnsiTheme="majorBidi" w:cs="Times New Roman"/>
          <w:rtl/>
        </w:rPr>
        <w:t xml:space="preserve"> من مختبر طبي و 28 من المجموعة الضابطة الممثلة </w:t>
      </w:r>
      <w:proofErr w:type="spellStart"/>
      <w:r w:rsidRPr="00DC0CC2">
        <w:rPr>
          <w:rFonts w:asciiTheme="majorBidi" w:hAnsiTheme="majorBidi" w:cs="Times New Roman"/>
          <w:rtl/>
        </w:rPr>
        <w:t>بالاصحاء</w:t>
      </w:r>
      <w:proofErr w:type="spellEnd"/>
      <w:r w:rsidRPr="00DC0CC2">
        <w:rPr>
          <w:rFonts w:asciiTheme="majorBidi" w:hAnsiTheme="majorBidi" w:cs="Times New Roman"/>
          <w:rtl/>
        </w:rPr>
        <w:t xml:space="preserve"> (</w:t>
      </w:r>
      <w:r w:rsidRPr="00DC0CC2">
        <w:rPr>
          <w:rFonts w:asciiTheme="majorBidi" w:hAnsiTheme="majorBidi" w:cstheme="majorBidi"/>
        </w:rPr>
        <w:t>HCs</w:t>
      </w:r>
      <w:r w:rsidRPr="00DC0CC2">
        <w:rPr>
          <w:rFonts w:asciiTheme="majorBidi" w:hAnsiTheme="majorBidi" w:cs="Times New Roman"/>
          <w:rtl/>
        </w:rPr>
        <w:t xml:space="preserve">). تم تقييم تركيز </w:t>
      </w:r>
      <w:proofErr w:type="spellStart"/>
      <w:r w:rsidRPr="00DC0CC2">
        <w:rPr>
          <w:rFonts w:asciiTheme="majorBidi" w:hAnsiTheme="majorBidi" w:cs="Times New Roman"/>
          <w:rtl/>
        </w:rPr>
        <w:t>نيوديسين</w:t>
      </w:r>
      <w:proofErr w:type="spellEnd"/>
      <w:r w:rsidRPr="00DC0CC2">
        <w:rPr>
          <w:rFonts w:asciiTheme="majorBidi" w:hAnsiTheme="majorBidi" w:cs="Times New Roman"/>
          <w:rtl/>
        </w:rPr>
        <w:t xml:space="preserve"> في مصل الدم باستخدام اختبار الامتصاص المناعي المرتبط بالإنزيم (</w:t>
      </w:r>
      <w:r w:rsidRPr="00DC0CC2">
        <w:rPr>
          <w:rFonts w:asciiTheme="majorBidi" w:hAnsiTheme="majorBidi" w:cstheme="majorBidi"/>
        </w:rPr>
        <w:t>ELISA</w:t>
      </w:r>
      <w:r w:rsidRPr="00DC0CC2">
        <w:rPr>
          <w:rFonts w:asciiTheme="majorBidi" w:hAnsiTheme="majorBidi" w:cs="Times New Roman"/>
          <w:rtl/>
        </w:rPr>
        <w:t>) ، بينما تم قياس الدهون الثلاثية (</w:t>
      </w:r>
      <w:r w:rsidRPr="00DC0CC2">
        <w:rPr>
          <w:rFonts w:asciiTheme="majorBidi" w:hAnsiTheme="majorBidi" w:cstheme="majorBidi"/>
        </w:rPr>
        <w:t>TGs</w:t>
      </w:r>
      <w:r w:rsidRPr="00DC0CC2">
        <w:rPr>
          <w:rFonts w:asciiTheme="majorBidi" w:hAnsiTheme="majorBidi" w:cs="Times New Roman"/>
          <w:rtl/>
        </w:rPr>
        <w:t>) والكوليسترول الكلي (</w:t>
      </w:r>
      <w:r w:rsidRPr="00DC0CC2">
        <w:rPr>
          <w:rFonts w:asciiTheme="majorBidi" w:hAnsiTheme="majorBidi" w:cstheme="majorBidi"/>
        </w:rPr>
        <w:t>T. Cho</w:t>
      </w:r>
      <w:r w:rsidRPr="00DC0CC2">
        <w:rPr>
          <w:rFonts w:asciiTheme="majorBidi" w:hAnsiTheme="majorBidi" w:cs="Times New Roman"/>
          <w:rtl/>
        </w:rPr>
        <w:t>) وكوليسترول البروتين الدهني عالي الكثافة (</w:t>
      </w:r>
      <w:r w:rsidRPr="00DC0CC2">
        <w:rPr>
          <w:rFonts w:asciiTheme="majorBidi" w:hAnsiTheme="majorBidi" w:cstheme="majorBidi"/>
        </w:rPr>
        <w:t>HDL-C</w:t>
      </w:r>
      <w:r w:rsidRPr="00DC0CC2">
        <w:rPr>
          <w:rFonts w:asciiTheme="majorBidi" w:hAnsiTheme="majorBidi" w:cs="Times New Roman"/>
          <w:rtl/>
        </w:rPr>
        <w:t xml:space="preserve">) ومستويات الكوليسترول الكلي باستخدام طرق لونية انزيمية. كان مستوى </w:t>
      </w:r>
      <w:proofErr w:type="spellStart"/>
      <w:r w:rsidRPr="00DC0CC2">
        <w:rPr>
          <w:rFonts w:asciiTheme="majorBidi" w:hAnsiTheme="majorBidi" w:cs="Times New Roman"/>
          <w:rtl/>
        </w:rPr>
        <w:t>النيودين</w:t>
      </w:r>
      <w:proofErr w:type="spellEnd"/>
      <w:r w:rsidRPr="00DC0CC2">
        <w:rPr>
          <w:rFonts w:asciiTheme="majorBidi" w:hAnsiTheme="majorBidi" w:cs="Times New Roman"/>
          <w:rtl/>
        </w:rPr>
        <w:t xml:space="preserve"> في مصل الدم منخفضا لدى مرضى قصور الغدة الدرقية بالمقارنة مع المجموعة الضابطة (</w:t>
      </w:r>
      <w:r w:rsidRPr="00DC0CC2">
        <w:rPr>
          <w:rFonts w:asciiTheme="majorBidi" w:hAnsiTheme="majorBidi" w:cstheme="majorBidi"/>
        </w:rPr>
        <w:t>P &lt;0.000l</w:t>
      </w:r>
      <w:r w:rsidRPr="00DC0CC2">
        <w:rPr>
          <w:rFonts w:asciiTheme="majorBidi" w:hAnsiTheme="majorBidi" w:cs="Times New Roman"/>
          <w:rtl/>
        </w:rPr>
        <w:t xml:space="preserve">) ، يتسم </w:t>
      </w:r>
      <w:proofErr w:type="spellStart"/>
      <w:r w:rsidRPr="00DC0CC2">
        <w:rPr>
          <w:rFonts w:asciiTheme="majorBidi" w:hAnsiTheme="majorBidi" w:cs="Times New Roman"/>
          <w:rtl/>
        </w:rPr>
        <w:t>النيوديسين</w:t>
      </w:r>
      <w:proofErr w:type="spellEnd"/>
      <w:r w:rsidRPr="00DC0CC2">
        <w:rPr>
          <w:rFonts w:asciiTheme="majorBidi" w:hAnsiTheme="majorBidi" w:cs="Times New Roman"/>
          <w:rtl/>
        </w:rPr>
        <w:t xml:space="preserve"> بعلاقة سلبية مهمة مع </w:t>
      </w:r>
      <w:r w:rsidRPr="00DC0CC2">
        <w:rPr>
          <w:rFonts w:asciiTheme="majorBidi" w:hAnsiTheme="majorBidi" w:cstheme="majorBidi"/>
        </w:rPr>
        <w:t xml:space="preserve">TGs </w:t>
      </w:r>
      <w:r w:rsidRPr="00DC0CC2">
        <w:rPr>
          <w:rFonts w:asciiTheme="majorBidi" w:hAnsiTheme="majorBidi" w:cs="Times New Roman"/>
          <w:rtl/>
        </w:rPr>
        <w:t xml:space="preserve">، </w:t>
      </w:r>
      <w:r w:rsidRPr="00DC0CC2">
        <w:rPr>
          <w:rFonts w:asciiTheme="majorBidi" w:hAnsiTheme="majorBidi" w:cstheme="majorBidi"/>
        </w:rPr>
        <w:t>HDL</w:t>
      </w:r>
      <w:r w:rsidRPr="00DC0CC2">
        <w:rPr>
          <w:rFonts w:asciiTheme="majorBidi" w:hAnsiTheme="majorBidi" w:cs="Times New Roman"/>
          <w:rtl/>
        </w:rPr>
        <w:t xml:space="preserve"> ، والبروتين الدهني منخفض الكثافة </w:t>
      </w:r>
      <w:r w:rsidRPr="00DC0CC2">
        <w:rPr>
          <w:rFonts w:asciiTheme="majorBidi" w:hAnsiTheme="majorBidi" w:cstheme="majorBidi"/>
        </w:rPr>
        <w:t xml:space="preserve">(VLDL) (mg / </w:t>
      </w:r>
      <w:proofErr w:type="spellStart"/>
      <w:r w:rsidRPr="00DC0CC2">
        <w:rPr>
          <w:rFonts w:asciiTheme="majorBidi" w:hAnsiTheme="majorBidi" w:cstheme="majorBidi"/>
        </w:rPr>
        <w:t>dL</w:t>
      </w:r>
      <w:proofErr w:type="spellEnd"/>
      <w:r w:rsidRPr="00DC0CC2">
        <w:rPr>
          <w:rFonts w:asciiTheme="majorBidi" w:hAnsiTheme="majorBidi" w:cstheme="majorBidi"/>
        </w:rPr>
        <w:t>)</w:t>
      </w:r>
      <w:r w:rsidRPr="00DC0CC2">
        <w:rPr>
          <w:rFonts w:asciiTheme="majorBidi" w:hAnsiTheme="majorBidi" w:cs="Times New Roman"/>
          <w:rtl/>
        </w:rPr>
        <w:t xml:space="preserve"> (</w:t>
      </w:r>
      <w:r w:rsidRPr="00DC0CC2">
        <w:rPr>
          <w:rFonts w:asciiTheme="majorBidi" w:hAnsiTheme="majorBidi" w:cstheme="majorBidi"/>
        </w:rPr>
        <w:t>P &lt; 0.000</w:t>
      </w:r>
      <w:r w:rsidRPr="00DC0CC2">
        <w:rPr>
          <w:rFonts w:asciiTheme="majorBidi" w:hAnsiTheme="majorBidi" w:cs="Times New Roman"/>
          <w:rtl/>
        </w:rPr>
        <w:t xml:space="preserve"> لتر) ، بينما أظهر ارتباطًا إيجابيًا مع البروتين الدهني منخفض الكثافة (</w:t>
      </w:r>
      <w:r w:rsidRPr="00DC0CC2">
        <w:rPr>
          <w:rFonts w:asciiTheme="majorBidi" w:hAnsiTheme="majorBidi" w:cstheme="majorBidi"/>
        </w:rPr>
        <w:t>LDL</w:t>
      </w:r>
      <w:r w:rsidRPr="00DC0CC2">
        <w:rPr>
          <w:rFonts w:asciiTheme="majorBidi" w:hAnsiTheme="majorBidi" w:cs="Times New Roman"/>
          <w:rtl/>
        </w:rPr>
        <w:t>) (مجم / ديسيلتر) (</w:t>
      </w:r>
      <w:r w:rsidRPr="00DC0CC2">
        <w:rPr>
          <w:rFonts w:asciiTheme="majorBidi" w:hAnsiTheme="majorBidi" w:cstheme="majorBidi"/>
        </w:rPr>
        <w:t>P &lt;0.000l</w:t>
      </w:r>
      <w:r w:rsidRPr="00DC0CC2">
        <w:rPr>
          <w:rFonts w:asciiTheme="majorBidi" w:hAnsiTheme="majorBidi" w:cs="Times New Roman"/>
          <w:rtl/>
        </w:rPr>
        <w:t>).</w:t>
      </w:r>
      <w:r w:rsidR="00B23182" w:rsidRPr="00DC0CC2">
        <w:rPr>
          <w:rFonts w:asciiTheme="majorBidi" w:hAnsiTheme="majorBidi" w:cs="Times New Roman"/>
          <w:rtl/>
        </w:rPr>
        <w:t xml:space="preserve"> أظهرت المتغيرات المدروسة في المنحنى المميز لأداء المستقبل (</w:t>
      </w:r>
      <w:r w:rsidR="00B23182" w:rsidRPr="00DC0CC2">
        <w:rPr>
          <w:rFonts w:asciiTheme="majorBidi" w:hAnsiTheme="majorBidi" w:cs="Times New Roman"/>
        </w:rPr>
        <w:t>AUROC</w:t>
      </w:r>
      <w:r w:rsidR="00B23182" w:rsidRPr="00DC0CC2">
        <w:rPr>
          <w:rFonts w:asciiTheme="majorBidi" w:hAnsiTheme="majorBidi" w:cs="Times New Roman"/>
          <w:rtl/>
        </w:rPr>
        <w:t xml:space="preserve">) قصور الغدة الدرقية وفرط نشاط الغدة الدرقية ، على التوالي: </w:t>
      </w:r>
      <w:proofErr w:type="spellStart"/>
      <w:r w:rsidR="00B23182" w:rsidRPr="00DC0CC2">
        <w:rPr>
          <w:rFonts w:asciiTheme="majorBidi" w:hAnsiTheme="majorBidi" w:cs="Times New Roman"/>
        </w:rPr>
        <w:t>Neudesin</w:t>
      </w:r>
      <w:proofErr w:type="spellEnd"/>
      <w:r w:rsidR="00B23182" w:rsidRPr="00DC0CC2">
        <w:rPr>
          <w:rFonts w:asciiTheme="majorBidi" w:hAnsiTheme="majorBidi" w:cs="Times New Roman"/>
          <w:rtl/>
        </w:rPr>
        <w:t xml:space="preserve"> (0.8017 و 0.9043 </w:t>
      </w:r>
      <w:proofErr w:type="spellStart"/>
      <w:r w:rsidR="00B23182" w:rsidRPr="00DC0CC2">
        <w:rPr>
          <w:rFonts w:asciiTheme="majorBidi" w:hAnsiTheme="majorBidi" w:cs="Times New Roman"/>
          <w:rtl/>
        </w:rPr>
        <w:t>نانوغرام</w:t>
      </w:r>
      <w:proofErr w:type="spellEnd"/>
      <w:r w:rsidR="00B23182" w:rsidRPr="00DC0CC2">
        <w:rPr>
          <w:rFonts w:asciiTheme="majorBidi" w:hAnsiTheme="majorBidi" w:cs="Times New Roman"/>
          <w:rtl/>
        </w:rPr>
        <w:t xml:space="preserve"> / مل) ، </w:t>
      </w:r>
      <w:r w:rsidR="00B23182" w:rsidRPr="00DC0CC2">
        <w:rPr>
          <w:rFonts w:asciiTheme="majorBidi" w:hAnsiTheme="majorBidi" w:cs="Times New Roman"/>
        </w:rPr>
        <w:t>HDL</w:t>
      </w:r>
      <w:r w:rsidR="00B23182" w:rsidRPr="00DC0CC2">
        <w:rPr>
          <w:rFonts w:asciiTheme="majorBidi" w:hAnsiTheme="majorBidi" w:cs="Times New Roman"/>
          <w:rtl/>
        </w:rPr>
        <w:t xml:space="preserve"> (0.677 و 0.5708 مجم / ديسيلتر) ، ثلاثي </w:t>
      </w:r>
      <w:proofErr w:type="spellStart"/>
      <w:r w:rsidR="00B23182" w:rsidRPr="00DC0CC2">
        <w:rPr>
          <w:rFonts w:asciiTheme="majorBidi" w:hAnsiTheme="majorBidi" w:cs="Times New Roman"/>
          <w:rtl/>
        </w:rPr>
        <w:t>يودوثيرونين</w:t>
      </w:r>
      <w:proofErr w:type="spellEnd"/>
      <w:r w:rsidR="00B23182" w:rsidRPr="00DC0CC2">
        <w:rPr>
          <w:rFonts w:asciiTheme="majorBidi" w:hAnsiTheme="majorBidi" w:cs="Times New Roman"/>
          <w:rtl/>
        </w:rPr>
        <w:t xml:space="preserve"> </w:t>
      </w:r>
      <w:r w:rsidR="00B23182" w:rsidRPr="00DC0CC2">
        <w:rPr>
          <w:rFonts w:asciiTheme="majorBidi" w:hAnsiTheme="majorBidi" w:cs="Times New Roman"/>
        </w:rPr>
        <w:t>(T3)</w:t>
      </w:r>
      <w:r w:rsidR="00B23182" w:rsidRPr="00DC0CC2">
        <w:rPr>
          <w:rFonts w:asciiTheme="majorBidi" w:hAnsiTheme="majorBidi" w:cs="Times New Roman"/>
          <w:rtl/>
        </w:rPr>
        <w:t xml:space="preserve"> (0.8578 و 1 </w:t>
      </w:r>
      <w:proofErr w:type="spellStart"/>
      <w:r w:rsidR="00B23182" w:rsidRPr="00DC0CC2">
        <w:rPr>
          <w:rFonts w:asciiTheme="majorBidi" w:hAnsiTheme="majorBidi" w:cs="Times New Roman"/>
          <w:rtl/>
        </w:rPr>
        <w:t>نانومول</w:t>
      </w:r>
      <w:proofErr w:type="spellEnd"/>
      <w:r w:rsidR="00B23182" w:rsidRPr="00DC0CC2">
        <w:rPr>
          <w:rFonts w:asciiTheme="majorBidi" w:hAnsiTheme="majorBidi" w:cs="Times New Roman"/>
          <w:rtl/>
        </w:rPr>
        <w:t xml:space="preserve">) / </w:t>
      </w:r>
      <w:r w:rsidR="00B23182" w:rsidRPr="00DC0CC2">
        <w:rPr>
          <w:rFonts w:asciiTheme="majorBidi" w:hAnsiTheme="majorBidi" w:cs="Times New Roman"/>
        </w:rPr>
        <w:t>L</w:t>
      </w:r>
      <w:r w:rsidR="00B23182" w:rsidRPr="00DC0CC2">
        <w:rPr>
          <w:rFonts w:asciiTheme="majorBidi" w:hAnsiTheme="majorBidi" w:cs="Times New Roman"/>
          <w:rtl/>
        </w:rPr>
        <w:t>) ، هرمون الغدة الدرقية (</w:t>
      </w:r>
      <w:r w:rsidR="00B23182" w:rsidRPr="00DC0CC2">
        <w:rPr>
          <w:rFonts w:asciiTheme="majorBidi" w:hAnsiTheme="majorBidi" w:cs="Times New Roman"/>
        </w:rPr>
        <w:t>T4) (0.9872</w:t>
      </w:r>
      <w:r w:rsidR="00B23182" w:rsidRPr="00DC0CC2">
        <w:rPr>
          <w:rFonts w:asciiTheme="majorBidi" w:hAnsiTheme="majorBidi" w:cs="Times New Roman"/>
          <w:rtl/>
        </w:rPr>
        <w:t xml:space="preserve"> و 1 </w:t>
      </w:r>
      <w:proofErr w:type="spellStart"/>
      <w:r w:rsidR="00B23182" w:rsidRPr="00DC0CC2">
        <w:rPr>
          <w:rFonts w:asciiTheme="majorBidi" w:hAnsiTheme="majorBidi" w:cs="Times New Roman"/>
          <w:rtl/>
        </w:rPr>
        <w:t>نانومول</w:t>
      </w:r>
      <w:proofErr w:type="spellEnd"/>
      <w:r w:rsidR="00B23182" w:rsidRPr="00DC0CC2">
        <w:rPr>
          <w:rFonts w:asciiTheme="majorBidi" w:hAnsiTheme="majorBidi" w:cs="Times New Roman"/>
          <w:rtl/>
        </w:rPr>
        <w:t xml:space="preserve"> / لتر) ، هرمون محفز للغدة الدرقية (</w:t>
      </w:r>
      <w:r w:rsidR="00B23182" w:rsidRPr="00DC0CC2">
        <w:rPr>
          <w:rFonts w:asciiTheme="majorBidi" w:hAnsiTheme="majorBidi" w:cs="Times New Roman"/>
        </w:rPr>
        <w:t>TSH) (0.9847</w:t>
      </w:r>
      <w:r w:rsidR="00B23182" w:rsidRPr="00DC0CC2">
        <w:rPr>
          <w:rFonts w:asciiTheme="majorBidi" w:hAnsiTheme="majorBidi" w:cs="Times New Roman"/>
          <w:rtl/>
        </w:rPr>
        <w:t xml:space="preserve"> و 0.757 ميكرو مول / مل) ، </w:t>
      </w:r>
      <w:r w:rsidR="00B23182" w:rsidRPr="00DC0CC2">
        <w:rPr>
          <w:rFonts w:asciiTheme="majorBidi" w:hAnsiTheme="majorBidi" w:cs="Times New Roman"/>
        </w:rPr>
        <w:t>T. Cho. (0.909</w:t>
      </w:r>
      <w:r w:rsidR="00B23182" w:rsidRPr="00DC0CC2">
        <w:rPr>
          <w:rFonts w:asciiTheme="majorBidi" w:hAnsiTheme="majorBidi" w:cs="Times New Roman"/>
          <w:rtl/>
        </w:rPr>
        <w:t xml:space="preserve"> و 0.6645 مجم / ديسيلتر) و </w:t>
      </w:r>
      <w:r w:rsidR="00B23182" w:rsidRPr="00DC0CC2">
        <w:rPr>
          <w:rFonts w:asciiTheme="majorBidi" w:hAnsiTheme="majorBidi" w:cs="Times New Roman"/>
        </w:rPr>
        <w:t>TGs (0.944</w:t>
      </w:r>
      <w:r w:rsidR="00B23182" w:rsidRPr="00DC0CC2">
        <w:rPr>
          <w:rFonts w:asciiTheme="majorBidi" w:hAnsiTheme="majorBidi" w:cs="Times New Roman"/>
          <w:rtl/>
        </w:rPr>
        <w:t xml:space="preserve"> و 0.669 مجم / ديسيلتر) و </w:t>
      </w:r>
      <w:r w:rsidR="00B23182" w:rsidRPr="00DC0CC2">
        <w:rPr>
          <w:rFonts w:asciiTheme="majorBidi" w:hAnsiTheme="majorBidi" w:cs="Times New Roman"/>
        </w:rPr>
        <w:t>VLDL (0.942</w:t>
      </w:r>
      <w:r w:rsidR="00B23182" w:rsidRPr="00DC0CC2">
        <w:rPr>
          <w:rFonts w:asciiTheme="majorBidi" w:hAnsiTheme="majorBidi" w:cs="Times New Roman"/>
          <w:rtl/>
        </w:rPr>
        <w:t xml:space="preserve"> و 0.669 مجم / ديسيلتر) و </w:t>
      </w:r>
      <w:r w:rsidR="00B23182" w:rsidRPr="00DC0CC2">
        <w:rPr>
          <w:rFonts w:asciiTheme="majorBidi" w:hAnsiTheme="majorBidi" w:cs="Times New Roman"/>
        </w:rPr>
        <w:t>LDL (0.872</w:t>
      </w:r>
      <w:r w:rsidR="00B23182" w:rsidRPr="00DC0CC2">
        <w:rPr>
          <w:rFonts w:asciiTheme="majorBidi" w:hAnsiTheme="majorBidi" w:cs="Times New Roman"/>
          <w:rtl/>
        </w:rPr>
        <w:t xml:space="preserve"> و 0.7526 مجم / ديسيلتر).</w:t>
      </w:r>
      <w:r w:rsidR="00B23182" w:rsidRPr="00DC0CC2">
        <w:rPr>
          <w:sz w:val="20"/>
          <w:szCs w:val="20"/>
          <w:rtl/>
        </w:rPr>
        <w:t xml:space="preserve"> </w:t>
      </w:r>
      <w:r w:rsidR="00B23182" w:rsidRPr="00DC0CC2">
        <w:rPr>
          <w:rFonts w:asciiTheme="majorBidi" w:hAnsiTheme="majorBidi" w:cs="Times New Roman"/>
          <w:rtl/>
        </w:rPr>
        <w:t xml:space="preserve">وجدت الدراسة الحالية أن مستويات مصل </w:t>
      </w:r>
      <w:proofErr w:type="spellStart"/>
      <w:r w:rsidR="00B23182" w:rsidRPr="00DC0CC2">
        <w:rPr>
          <w:rFonts w:asciiTheme="majorBidi" w:hAnsiTheme="majorBidi" w:cs="Times New Roman"/>
          <w:rtl/>
        </w:rPr>
        <w:t>النيودسين</w:t>
      </w:r>
      <w:proofErr w:type="spellEnd"/>
      <w:r w:rsidR="00B23182" w:rsidRPr="00DC0CC2">
        <w:rPr>
          <w:rFonts w:asciiTheme="majorBidi" w:hAnsiTheme="majorBidi" w:cs="Times New Roman"/>
          <w:rtl/>
        </w:rPr>
        <w:t xml:space="preserve"> أظهرت ارتباطًا سلبيًا مع </w:t>
      </w:r>
      <w:proofErr w:type="spellStart"/>
      <w:r w:rsidR="00B23182" w:rsidRPr="00DC0CC2">
        <w:rPr>
          <w:rFonts w:asciiTheme="majorBidi" w:hAnsiTheme="majorBidi" w:cs="Times New Roman"/>
        </w:rPr>
        <w:t>T.Cho</w:t>
      </w:r>
      <w:proofErr w:type="spellEnd"/>
      <w:r w:rsidR="00B23182" w:rsidRPr="00DC0CC2">
        <w:rPr>
          <w:rFonts w:asciiTheme="majorBidi" w:hAnsiTheme="majorBidi" w:cs="Times New Roman"/>
          <w:rtl/>
        </w:rPr>
        <w:t xml:space="preserve"> و </w:t>
      </w:r>
      <w:r w:rsidR="00B23182" w:rsidRPr="00DC0CC2">
        <w:rPr>
          <w:rFonts w:asciiTheme="majorBidi" w:hAnsiTheme="majorBidi" w:cs="Times New Roman"/>
        </w:rPr>
        <w:t>LDL</w:t>
      </w:r>
      <w:r w:rsidR="00B23182" w:rsidRPr="00DC0CC2">
        <w:rPr>
          <w:rFonts w:asciiTheme="majorBidi" w:hAnsiTheme="majorBidi" w:cs="Times New Roman"/>
          <w:rtl/>
        </w:rPr>
        <w:t xml:space="preserve"> في مرضى فرط نشاط الغدة الدرقية بينما أظهرت ارتباطًا سلبيًا مع الدهون الثلاثية و </w:t>
      </w:r>
      <w:r w:rsidR="00B23182" w:rsidRPr="00DC0CC2">
        <w:rPr>
          <w:rFonts w:asciiTheme="majorBidi" w:hAnsiTheme="majorBidi" w:cs="Times New Roman"/>
        </w:rPr>
        <w:t>VLDL</w:t>
      </w:r>
      <w:r w:rsidR="00B23182" w:rsidRPr="00DC0CC2">
        <w:rPr>
          <w:rFonts w:asciiTheme="majorBidi" w:hAnsiTheme="majorBidi" w:cs="Times New Roman"/>
          <w:rtl/>
        </w:rPr>
        <w:t xml:space="preserve"> في مرضى قصور الغدة الدرقية.</w:t>
      </w:r>
    </w:p>
    <w:p w14:paraId="04CCFEBC" w14:textId="1C63F970" w:rsidR="00C95830" w:rsidRPr="00DC0CC2" w:rsidRDefault="001603F5" w:rsidP="00DC0CC2">
      <w:pPr>
        <w:tabs>
          <w:tab w:val="left" w:pos="9500"/>
        </w:tabs>
        <w:bidi/>
        <w:spacing w:line="276" w:lineRule="auto"/>
        <w:jc w:val="both"/>
        <w:rPr>
          <w:rFonts w:ascii="Times New Roman" w:hAnsi="Times New Roman" w:cs="Times New Roman"/>
          <w:i/>
          <w:iCs/>
        </w:rPr>
      </w:pPr>
      <w:r w:rsidRPr="00DC0CC2">
        <w:rPr>
          <w:rFonts w:ascii="Times New Roman" w:hAnsi="Times New Roman" w:cs="Times New Roman"/>
          <w:b/>
          <w:bCs/>
          <w:i/>
          <w:iCs/>
          <w:rtl/>
        </w:rPr>
        <w:t>الكلمات المفتاحية:</w:t>
      </w:r>
      <w:r w:rsidRPr="00DC0CC2">
        <w:rPr>
          <w:rFonts w:ascii="Times New Roman" w:hAnsi="Times New Roman" w:cs="Times New Roman"/>
          <w:i/>
          <w:iCs/>
          <w:rtl/>
        </w:rPr>
        <w:t xml:space="preserve"> </w:t>
      </w:r>
      <w:r w:rsidR="00B23182" w:rsidRPr="00DC0CC2">
        <w:rPr>
          <w:rFonts w:ascii="Times New Roman" w:hAnsi="Times New Roman" w:cs="Times New Roman"/>
          <w:i/>
          <w:iCs/>
          <w:rtl/>
        </w:rPr>
        <w:t>فرط نشاط الغدة الدرقية ، قصور الغدة الدرقية ، هرمون الغدة الدرقية ، كوليسترول البروتين الدهني عالي الكثافة ، الدهون الثلاثية</w:t>
      </w:r>
    </w:p>
    <w:p w14:paraId="7F208411" w14:textId="77777777" w:rsidR="00D60754" w:rsidRPr="00DC0CC2" w:rsidRDefault="00D60754" w:rsidP="00D60754">
      <w:pPr>
        <w:widowControl w:val="0"/>
        <w:autoSpaceDE w:val="0"/>
        <w:autoSpaceDN w:val="0"/>
        <w:adjustRightInd w:val="0"/>
        <w:spacing w:line="360" w:lineRule="auto"/>
        <w:rPr>
          <w:rFonts w:ascii="Times New Roman" w:hAnsi="Times New Roman" w:cs="Times New Roman"/>
          <w:noProof/>
          <w:sz w:val="20"/>
          <w:szCs w:val="20"/>
          <w:lang w:val="en-GB"/>
        </w:rPr>
      </w:pPr>
    </w:p>
    <w:sectPr w:rsidR="00D60754" w:rsidRPr="00DC0CC2" w:rsidSect="003760E2">
      <w:type w:val="continuous"/>
      <w:pgSz w:w="12240" w:h="15840"/>
      <w:pgMar w:top="680" w:right="765" w:bottom="652" w:left="709"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9795C" w14:textId="77777777" w:rsidR="00ED3A6B" w:rsidRDefault="00ED3A6B" w:rsidP="00ED76C2">
      <w:r>
        <w:separator/>
      </w:r>
    </w:p>
  </w:endnote>
  <w:endnote w:type="continuationSeparator" w:id="0">
    <w:p w14:paraId="324E8B38" w14:textId="77777777" w:rsidR="00ED3A6B" w:rsidRDefault="00ED3A6B" w:rsidP="00ED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Times">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890073"/>
      <w:docPartObj>
        <w:docPartGallery w:val="Page Numbers (Bottom of Page)"/>
        <w:docPartUnique/>
      </w:docPartObj>
    </w:sdtPr>
    <w:sdtEndPr/>
    <w:sdtContent>
      <w:p w14:paraId="6FE6EBC3" w14:textId="666A20A0" w:rsidR="00CE5986" w:rsidRDefault="00CE5986">
        <w:pPr>
          <w:pStyle w:val="a7"/>
          <w:jc w:val="center"/>
        </w:pPr>
        <w:r>
          <w:fldChar w:fldCharType="begin"/>
        </w:r>
        <w:r>
          <w:instrText>PAGE   \* MERGEFORMAT</w:instrText>
        </w:r>
        <w:r>
          <w:fldChar w:fldCharType="separate"/>
        </w:r>
        <w:r w:rsidR="00CA0AFC" w:rsidRPr="00CA0AFC">
          <w:rPr>
            <w:rFonts w:cs="Calibri"/>
            <w:noProof/>
            <w:lang w:val="ar-SA"/>
          </w:rPr>
          <w:t>100</w:t>
        </w:r>
        <w:r>
          <w:fldChar w:fldCharType="end"/>
        </w:r>
      </w:p>
    </w:sdtContent>
  </w:sdt>
  <w:p w14:paraId="05D2AEE4" w14:textId="2AC9BE9E" w:rsidR="00DC0CC2" w:rsidRDefault="00DC0CC2" w:rsidP="003760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454F" w14:textId="77777777" w:rsidR="00ED3A6B" w:rsidRDefault="00ED3A6B" w:rsidP="00ED76C2">
      <w:r>
        <w:separator/>
      </w:r>
    </w:p>
  </w:footnote>
  <w:footnote w:type="continuationSeparator" w:id="0">
    <w:p w14:paraId="7FC2C323" w14:textId="77777777" w:rsidR="00ED3A6B" w:rsidRDefault="00ED3A6B" w:rsidP="00ED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60AC" w14:textId="749A2D85" w:rsidR="00DC0CC2" w:rsidRDefault="00DC0CC2" w:rsidP="00CE5986">
    <w:pPr>
      <w:pStyle w:val="a3"/>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sidR="00B33BBB">
      <w:rPr>
        <w:rFonts w:asciiTheme="majorBidi" w:hAnsiTheme="majorBidi" w:cstheme="majorBidi"/>
        <w:color w:val="FF0000"/>
        <w:sz w:val="20"/>
        <w:szCs w:val="20"/>
      </w:rPr>
      <w:t>10</w:t>
    </w:r>
    <w:r w:rsidR="00CE5986">
      <w:rPr>
        <w:rFonts w:asciiTheme="majorBidi" w:hAnsiTheme="majorBidi" w:cstheme="majorBidi"/>
        <w:color w:val="FF0000"/>
        <w:sz w:val="20"/>
        <w:szCs w:val="20"/>
      </w:rPr>
      <w:t>0</w:t>
    </w:r>
    <w:r w:rsidR="00B33BBB">
      <w:rPr>
        <w:rFonts w:asciiTheme="majorBidi" w:hAnsiTheme="majorBidi" w:cstheme="majorBidi"/>
        <w:color w:val="FF0000"/>
        <w:sz w:val="20"/>
        <w:szCs w:val="20"/>
      </w:rPr>
      <w:t xml:space="preserve"> </w:t>
    </w:r>
    <w:r w:rsidRPr="003212F0">
      <w:rPr>
        <w:rFonts w:asciiTheme="majorBidi" w:hAnsiTheme="majorBidi" w:cstheme="majorBidi"/>
        <w:color w:val="FF0000"/>
        <w:sz w:val="20"/>
        <w:szCs w:val="20"/>
      </w:rPr>
      <w:t xml:space="preserve">– </w:t>
    </w:r>
    <w:r w:rsidR="00CE5986">
      <w:rPr>
        <w:rFonts w:asciiTheme="majorBidi" w:hAnsiTheme="majorBidi" w:cstheme="majorBidi"/>
        <w:color w:val="FF0000"/>
        <w:sz w:val="20"/>
        <w:szCs w:val="20"/>
      </w:rPr>
      <w:t>106</w:t>
    </w:r>
    <w:r w:rsidRPr="003212F0">
      <w:rPr>
        <w:rFonts w:asciiTheme="majorBidi" w:hAnsiTheme="majorBidi" w:cstheme="majorBidi"/>
        <w:color w:val="FF0000"/>
        <w:sz w:val="20"/>
        <w:szCs w:val="20"/>
      </w:rPr>
      <w:t xml:space="preserve">                                           </w:t>
    </w:r>
  </w:p>
  <w:p w14:paraId="65852536" w14:textId="60348140" w:rsidR="00DC0CC2" w:rsidRPr="00DC0CC2" w:rsidRDefault="00DC0CC2" w:rsidP="00DC0C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D4C"/>
    <w:multiLevelType w:val="hybridMultilevel"/>
    <w:tmpl w:val="2BFA9FFC"/>
    <w:lvl w:ilvl="0" w:tplc="5254E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76E4"/>
    <w:multiLevelType w:val="hybridMultilevel"/>
    <w:tmpl w:val="1800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C3B0C"/>
    <w:multiLevelType w:val="hybridMultilevel"/>
    <w:tmpl w:val="D69CB0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80755"/>
    <w:multiLevelType w:val="hybridMultilevel"/>
    <w:tmpl w:val="3AF2D74E"/>
    <w:lvl w:ilvl="0" w:tplc="D2A488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46D9A"/>
    <w:multiLevelType w:val="hybridMultilevel"/>
    <w:tmpl w:val="95CE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B513F"/>
    <w:multiLevelType w:val="hybridMultilevel"/>
    <w:tmpl w:val="3F2C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B7C04"/>
    <w:multiLevelType w:val="multilevel"/>
    <w:tmpl w:val="D5FE055A"/>
    <w:lvl w:ilvl="0">
      <w:start w:val="2"/>
      <w:numFmt w:val="decimal"/>
      <w:lvlText w:val="%1"/>
      <w:lvlJc w:val="left"/>
      <w:pPr>
        <w:ind w:left="1230" w:hanging="1230"/>
      </w:pPr>
      <w:rPr>
        <w:rFonts w:hint="default"/>
      </w:rPr>
    </w:lvl>
    <w:lvl w:ilvl="1">
      <w:start w:val="4"/>
      <w:numFmt w:val="decimal"/>
      <w:lvlText w:val="%1.%2"/>
      <w:lvlJc w:val="left"/>
      <w:pPr>
        <w:ind w:left="1230" w:hanging="1230"/>
      </w:pPr>
      <w:rPr>
        <w:rFonts w:hint="default"/>
      </w:rPr>
    </w:lvl>
    <w:lvl w:ilvl="2">
      <w:start w:val="3"/>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3"/>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820E62"/>
    <w:multiLevelType w:val="hybridMultilevel"/>
    <w:tmpl w:val="0F8A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B0564"/>
    <w:multiLevelType w:val="hybridMultilevel"/>
    <w:tmpl w:val="CF0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4FB5"/>
    <w:multiLevelType w:val="hybridMultilevel"/>
    <w:tmpl w:val="17E286A8"/>
    <w:lvl w:ilvl="0" w:tplc="74F6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FB4B8C"/>
    <w:multiLevelType w:val="multilevel"/>
    <w:tmpl w:val="0D9EDDB4"/>
    <w:lvl w:ilvl="0">
      <w:start w:val="2"/>
      <w:numFmt w:val="decimal"/>
      <w:lvlText w:val="%1."/>
      <w:lvlJc w:val="left"/>
      <w:pPr>
        <w:ind w:left="1095" w:hanging="1095"/>
      </w:pPr>
      <w:rPr>
        <w:rFonts w:hint="default"/>
      </w:rPr>
    </w:lvl>
    <w:lvl w:ilvl="1">
      <w:start w:val="4"/>
      <w:numFmt w:val="decimal"/>
      <w:lvlText w:val="%1.%2."/>
      <w:lvlJc w:val="left"/>
      <w:pPr>
        <w:ind w:left="1095" w:hanging="1095"/>
      </w:pPr>
      <w:rPr>
        <w:rFonts w:hint="default"/>
      </w:rPr>
    </w:lvl>
    <w:lvl w:ilvl="2">
      <w:start w:val="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17A454"/>
    <w:multiLevelType w:val="hybridMultilevel"/>
    <w:tmpl w:val="1C9533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FE5D49"/>
    <w:multiLevelType w:val="hybridMultilevel"/>
    <w:tmpl w:val="901E45FC"/>
    <w:lvl w:ilvl="0" w:tplc="934A0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457A6"/>
    <w:multiLevelType w:val="hybridMultilevel"/>
    <w:tmpl w:val="9DC0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401B2"/>
    <w:multiLevelType w:val="multilevel"/>
    <w:tmpl w:val="9294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00AD4"/>
    <w:multiLevelType w:val="hybridMultilevel"/>
    <w:tmpl w:val="B5E2172E"/>
    <w:lvl w:ilvl="0" w:tplc="B798D3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7761A"/>
    <w:multiLevelType w:val="multilevel"/>
    <w:tmpl w:val="54C6B4D8"/>
    <w:lvl w:ilvl="0">
      <w:start w:val="1"/>
      <w:numFmt w:val="decimal"/>
      <w:lvlText w:val="%1."/>
      <w:lvlJc w:val="left"/>
      <w:pPr>
        <w:ind w:left="450" w:hanging="360"/>
      </w:pPr>
      <w:rPr>
        <w:rFonts w:hint="default"/>
        <w:b/>
        <w:bCs/>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B321BC"/>
    <w:multiLevelType w:val="hybridMultilevel"/>
    <w:tmpl w:val="37564AEE"/>
    <w:lvl w:ilvl="0" w:tplc="F184D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C5641"/>
    <w:multiLevelType w:val="hybridMultilevel"/>
    <w:tmpl w:val="7B7601B8"/>
    <w:lvl w:ilvl="0" w:tplc="62AA7718">
      <w:start w:val="4"/>
      <w:numFmt w:val="decimal"/>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F502F72"/>
    <w:multiLevelType w:val="hybridMultilevel"/>
    <w:tmpl w:val="11ECFE18"/>
    <w:lvl w:ilvl="0" w:tplc="A4B406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FAF50D9"/>
    <w:multiLevelType w:val="hybridMultilevel"/>
    <w:tmpl w:val="B5A4FC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00561"/>
    <w:multiLevelType w:val="multilevel"/>
    <w:tmpl w:val="34F4EAA6"/>
    <w:lvl w:ilvl="0">
      <w:start w:val="5"/>
      <w:numFmt w:val="decimal"/>
      <w:lvlText w:val="%1"/>
      <w:lvlJc w:val="left"/>
      <w:pPr>
        <w:ind w:left="390" w:hanging="390"/>
      </w:pPr>
      <w:rPr>
        <w:rFonts w:ascii="Times New Roman" w:hAnsi="Times New Roman" w:cs="Times New Roman" w:hint="default"/>
        <w:b/>
      </w:rPr>
    </w:lvl>
    <w:lvl w:ilvl="1">
      <w:start w:val="2"/>
      <w:numFmt w:val="decimal"/>
      <w:lvlText w:val="%1-%2"/>
      <w:lvlJc w:val="left"/>
      <w:pPr>
        <w:ind w:left="578" w:hanging="720"/>
      </w:pPr>
      <w:rPr>
        <w:rFonts w:ascii="Times New Roman" w:hAnsi="Times New Roman" w:cs="Times New Roman" w:hint="default"/>
        <w:b/>
      </w:rPr>
    </w:lvl>
    <w:lvl w:ilvl="2">
      <w:start w:val="1"/>
      <w:numFmt w:val="decimal"/>
      <w:lvlText w:val="%1-%2.%3"/>
      <w:lvlJc w:val="left"/>
      <w:pPr>
        <w:ind w:left="436" w:hanging="720"/>
      </w:pPr>
      <w:rPr>
        <w:rFonts w:ascii="Times New Roman" w:hAnsi="Times New Roman" w:cs="Times New Roman" w:hint="default"/>
        <w:b/>
      </w:rPr>
    </w:lvl>
    <w:lvl w:ilvl="3">
      <w:start w:val="1"/>
      <w:numFmt w:val="decimal"/>
      <w:lvlText w:val="%1-%2.%3.%4"/>
      <w:lvlJc w:val="left"/>
      <w:pPr>
        <w:ind w:left="654" w:hanging="1080"/>
      </w:pPr>
      <w:rPr>
        <w:rFonts w:ascii="Times New Roman" w:hAnsi="Times New Roman" w:cs="Times New Roman" w:hint="default"/>
        <w:b/>
      </w:rPr>
    </w:lvl>
    <w:lvl w:ilvl="4">
      <w:start w:val="1"/>
      <w:numFmt w:val="decimal"/>
      <w:lvlText w:val="%1-%2.%3.%4.%5"/>
      <w:lvlJc w:val="left"/>
      <w:pPr>
        <w:ind w:left="512" w:hanging="1080"/>
      </w:pPr>
      <w:rPr>
        <w:rFonts w:ascii="Times New Roman" w:hAnsi="Times New Roman" w:cs="Times New Roman" w:hint="default"/>
        <w:b/>
      </w:rPr>
    </w:lvl>
    <w:lvl w:ilvl="5">
      <w:start w:val="1"/>
      <w:numFmt w:val="decimal"/>
      <w:lvlText w:val="%1-%2.%3.%4.%5.%6"/>
      <w:lvlJc w:val="left"/>
      <w:pPr>
        <w:ind w:left="730" w:hanging="1440"/>
      </w:pPr>
      <w:rPr>
        <w:rFonts w:ascii="Times New Roman" w:hAnsi="Times New Roman" w:cs="Times New Roman" w:hint="default"/>
        <w:b/>
      </w:rPr>
    </w:lvl>
    <w:lvl w:ilvl="6">
      <w:start w:val="1"/>
      <w:numFmt w:val="decimal"/>
      <w:lvlText w:val="%1-%2.%3.%4.%5.%6.%7"/>
      <w:lvlJc w:val="left"/>
      <w:pPr>
        <w:ind w:left="588" w:hanging="1440"/>
      </w:pPr>
      <w:rPr>
        <w:rFonts w:ascii="Times New Roman" w:hAnsi="Times New Roman" w:cs="Times New Roman" w:hint="default"/>
        <w:b/>
      </w:rPr>
    </w:lvl>
    <w:lvl w:ilvl="7">
      <w:start w:val="1"/>
      <w:numFmt w:val="decimal"/>
      <w:lvlText w:val="%1-%2.%3.%4.%5.%6.%7.%8"/>
      <w:lvlJc w:val="left"/>
      <w:pPr>
        <w:ind w:left="806" w:hanging="1800"/>
      </w:pPr>
      <w:rPr>
        <w:rFonts w:ascii="Times New Roman" w:hAnsi="Times New Roman" w:cs="Times New Roman" w:hint="default"/>
        <w:b/>
      </w:rPr>
    </w:lvl>
    <w:lvl w:ilvl="8">
      <w:start w:val="1"/>
      <w:numFmt w:val="decimal"/>
      <w:lvlText w:val="%1-%2.%3.%4.%5.%6.%7.%8.%9"/>
      <w:lvlJc w:val="left"/>
      <w:pPr>
        <w:ind w:left="1024" w:hanging="2160"/>
      </w:pPr>
      <w:rPr>
        <w:rFonts w:ascii="Times New Roman" w:hAnsi="Times New Roman" w:cs="Times New Roman" w:hint="default"/>
        <w:b/>
      </w:rPr>
    </w:lvl>
  </w:abstractNum>
  <w:abstractNum w:abstractNumId="22">
    <w:nsid w:val="42766CF7"/>
    <w:multiLevelType w:val="hybridMultilevel"/>
    <w:tmpl w:val="028CF7A8"/>
    <w:lvl w:ilvl="0" w:tplc="F7E6C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E8533C"/>
    <w:multiLevelType w:val="hybridMultilevel"/>
    <w:tmpl w:val="64B26AB8"/>
    <w:lvl w:ilvl="0" w:tplc="7A269496">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67B3A"/>
    <w:multiLevelType w:val="hybridMultilevel"/>
    <w:tmpl w:val="D71001E8"/>
    <w:lvl w:ilvl="0" w:tplc="B3AC3F82">
      <w:start w:val="1"/>
      <w:numFmt w:val="lowerLetter"/>
      <w:lvlText w:val="%1)"/>
      <w:lvlJc w:val="left"/>
      <w:pPr>
        <w:ind w:left="4550" w:hanging="31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E0381B"/>
    <w:multiLevelType w:val="hybridMultilevel"/>
    <w:tmpl w:val="44CCA590"/>
    <w:lvl w:ilvl="0" w:tplc="050E4A5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5006F8"/>
    <w:multiLevelType w:val="multilevel"/>
    <w:tmpl w:val="FDE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90C45"/>
    <w:multiLevelType w:val="multilevel"/>
    <w:tmpl w:val="E6E447C2"/>
    <w:lvl w:ilvl="0">
      <w:start w:val="2"/>
      <w:numFmt w:val="decimal"/>
      <w:lvlText w:val="%1."/>
      <w:lvlJc w:val="left"/>
      <w:pPr>
        <w:ind w:left="1305" w:hanging="1305"/>
      </w:pPr>
      <w:rPr>
        <w:rFonts w:hint="default"/>
      </w:rPr>
    </w:lvl>
    <w:lvl w:ilvl="1">
      <w:start w:val="3"/>
      <w:numFmt w:val="decimal"/>
      <w:lvlText w:val="%1.%2."/>
      <w:lvlJc w:val="left"/>
      <w:pPr>
        <w:ind w:left="1305" w:hanging="1305"/>
      </w:pPr>
      <w:rPr>
        <w:rFonts w:hint="default"/>
      </w:rPr>
    </w:lvl>
    <w:lvl w:ilvl="2">
      <w:start w:val="4"/>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477A8E"/>
    <w:multiLevelType w:val="hybridMultilevel"/>
    <w:tmpl w:val="7C4C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70906"/>
    <w:multiLevelType w:val="hybridMultilevel"/>
    <w:tmpl w:val="F4F4B85C"/>
    <w:lvl w:ilvl="0" w:tplc="050E4A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5441A"/>
    <w:multiLevelType w:val="hybridMultilevel"/>
    <w:tmpl w:val="652E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73BC2"/>
    <w:multiLevelType w:val="hybridMultilevel"/>
    <w:tmpl w:val="AFA87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F416C9"/>
    <w:multiLevelType w:val="hybridMultilevel"/>
    <w:tmpl w:val="68D08C14"/>
    <w:lvl w:ilvl="0" w:tplc="47D89AF8">
      <w:start w:val="1"/>
      <w:numFmt w:val="decimal"/>
      <w:lvlText w:val="%1."/>
      <w:lvlJc w:val="left"/>
      <w:pPr>
        <w:ind w:left="644" w:hanging="360"/>
      </w:pPr>
      <w:rPr>
        <w:rFonts w:ascii="Times New Roman" w:eastAsia="AdvTimes" w:hAnsi="Times New Roman" w:cs="Times New Roman"/>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3">
    <w:nsid w:val="661C0614"/>
    <w:multiLevelType w:val="hybridMultilevel"/>
    <w:tmpl w:val="7B562E18"/>
    <w:lvl w:ilvl="0" w:tplc="305205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7233A"/>
    <w:multiLevelType w:val="multilevel"/>
    <w:tmpl w:val="4602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06C44"/>
    <w:multiLevelType w:val="multilevel"/>
    <w:tmpl w:val="6AC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07E3C"/>
    <w:multiLevelType w:val="multilevel"/>
    <w:tmpl w:val="1A80FEAE"/>
    <w:lvl w:ilvl="0">
      <w:start w:val="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4DC6563"/>
    <w:multiLevelType w:val="multilevel"/>
    <w:tmpl w:val="84B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D6711A"/>
    <w:multiLevelType w:val="hybridMultilevel"/>
    <w:tmpl w:val="BAE67A64"/>
    <w:lvl w:ilvl="0" w:tplc="CFA6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968A6"/>
    <w:multiLevelType w:val="hybridMultilevel"/>
    <w:tmpl w:val="5DE6AEE8"/>
    <w:lvl w:ilvl="0" w:tplc="22BE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D33CE"/>
    <w:multiLevelType w:val="hybridMultilevel"/>
    <w:tmpl w:val="464659EE"/>
    <w:lvl w:ilvl="0" w:tplc="476ED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2263F"/>
    <w:multiLevelType w:val="multilevel"/>
    <w:tmpl w:val="D76E13FC"/>
    <w:lvl w:ilvl="0">
      <w:start w:val="2"/>
      <w:numFmt w:val="decimal"/>
      <w:lvlText w:val="%1."/>
      <w:lvlJc w:val="left"/>
      <w:pPr>
        <w:ind w:left="1305" w:hanging="1305"/>
      </w:pPr>
      <w:rPr>
        <w:rFonts w:hint="default"/>
        <w:b/>
      </w:rPr>
    </w:lvl>
    <w:lvl w:ilvl="1">
      <w:start w:val="4"/>
      <w:numFmt w:val="decimal"/>
      <w:lvlText w:val="%1.%2."/>
      <w:lvlJc w:val="left"/>
      <w:pPr>
        <w:ind w:left="1305" w:hanging="1305"/>
      </w:pPr>
      <w:rPr>
        <w:rFonts w:hint="default"/>
        <w:b/>
      </w:rPr>
    </w:lvl>
    <w:lvl w:ilvl="2">
      <w:start w:val="3"/>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2"/>
      <w:numFmt w:val="decimal"/>
      <w:lvlText w:val="%1.%2.%3.%4.%5."/>
      <w:lvlJc w:val="left"/>
      <w:pPr>
        <w:ind w:left="1305" w:hanging="1305"/>
      </w:pPr>
      <w:rPr>
        <w:rFonts w:hint="default"/>
        <w:b/>
      </w:rPr>
    </w:lvl>
    <w:lvl w:ilvl="5">
      <w:start w:val="4"/>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B751DD9"/>
    <w:multiLevelType w:val="multilevel"/>
    <w:tmpl w:val="85EC4EB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F104A7"/>
    <w:multiLevelType w:val="hybridMultilevel"/>
    <w:tmpl w:val="B476C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A37D26"/>
    <w:multiLevelType w:val="hybridMultilevel"/>
    <w:tmpl w:val="B274B87E"/>
    <w:lvl w:ilvl="0" w:tplc="B7C6A5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
  </w:num>
  <w:num w:numId="4">
    <w:abstractNumId w:val="38"/>
  </w:num>
  <w:num w:numId="5">
    <w:abstractNumId w:val="9"/>
  </w:num>
  <w:num w:numId="6">
    <w:abstractNumId w:val="22"/>
  </w:num>
  <w:num w:numId="7">
    <w:abstractNumId w:val="4"/>
  </w:num>
  <w:num w:numId="8">
    <w:abstractNumId w:val="30"/>
  </w:num>
  <w:num w:numId="9">
    <w:abstractNumId w:val="5"/>
  </w:num>
  <w:num w:numId="10">
    <w:abstractNumId w:val="31"/>
  </w:num>
  <w:num w:numId="11">
    <w:abstractNumId w:val="40"/>
  </w:num>
  <w:num w:numId="12">
    <w:abstractNumId w:val="43"/>
  </w:num>
  <w:num w:numId="13">
    <w:abstractNumId w:val="17"/>
  </w:num>
  <w:num w:numId="14">
    <w:abstractNumId w:val="12"/>
  </w:num>
  <w:num w:numId="15">
    <w:abstractNumId w:val="16"/>
  </w:num>
  <w:num w:numId="16">
    <w:abstractNumId w:val="11"/>
  </w:num>
  <w:num w:numId="17">
    <w:abstractNumId w:val="13"/>
  </w:num>
  <w:num w:numId="18">
    <w:abstractNumId w:val="44"/>
  </w:num>
  <w:num w:numId="19">
    <w:abstractNumId w:val="15"/>
  </w:num>
  <w:num w:numId="20">
    <w:abstractNumId w:val="1"/>
  </w:num>
  <w:num w:numId="21">
    <w:abstractNumId w:val="28"/>
  </w:num>
  <w:num w:numId="22">
    <w:abstractNumId w:val="10"/>
  </w:num>
  <w:num w:numId="23">
    <w:abstractNumId w:val="27"/>
  </w:num>
  <w:num w:numId="24">
    <w:abstractNumId w:val="6"/>
  </w:num>
  <w:num w:numId="25">
    <w:abstractNumId w:val="41"/>
  </w:num>
  <w:num w:numId="26">
    <w:abstractNumId w:val="8"/>
  </w:num>
  <w:num w:numId="27">
    <w:abstractNumId w:val="32"/>
  </w:num>
  <w:num w:numId="28">
    <w:abstractNumId w:val="21"/>
  </w:num>
  <w:num w:numId="29">
    <w:abstractNumId w:val="42"/>
  </w:num>
  <w:num w:numId="30">
    <w:abstractNumId w:val="36"/>
  </w:num>
  <w:num w:numId="31">
    <w:abstractNumId w:val="24"/>
  </w:num>
  <w:num w:numId="32">
    <w:abstractNumId w:val="2"/>
  </w:num>
  <w:num w:numId="33">
    <w:abstractNumId w:val="29"/>
  </w:num>
  <w:num w:numId="34">
    <w:abstractNumId w:val="25"/>
  </w:num>
  <w:num w:numId="35">
    <w:abstractNumId w:val="1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3"/>
  </w:num>
  <w:num w:numId="39">
    <w:abstractNumId w:val="34"/>
  </w:num>
  <w:num w:numId="40">
    <w:abstractNumId w:val="26"/>
  </w:num>
  <w:num w:numId="41">
    <w:abstractNumId w:val="14"/>
  </w:num>
  <w:num w:numId="42">
    <w:abstractNumId w:val="37"/>
  </w:num>
  <w:num w:numId="43">
    <w:abstractNumId w:val="35"/>
  </w:num>
  <w:num w:numId="44">
    <w:abstractNumId w:val="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7ewNDc0MjIyNTFS0lEKTi0uzszPAykwqgUAnJLh+iwAAAA="/>
  </w:docVars>
  <w:rsids>
    <w:rsidRoot w:val="00ED76C2"/>
    <w:rsid w:val="0000020E"/>
    <w:rsid w:val="00000848"/>
    <w:rsid w:val="00000A52"/>
    <w:rsid w:val="000036CD"/>
    <w:rsid w:val="00003FE3"/>
    <w:rsid w:val="00005AB5"/>
    <w:rsid w:val="000114F9"/>
    <w:rsid w:val="00013F1E"/>
    <w:rsid w:val="0002081C"/>
    <w:rsid w:val="00021B83"/>
    <w:rsid w:val="00022D71"/>
    <w:rsid w:val="000333DC"/>
    <w:rsid w:val="00034BB7"/>
    <w:rsid w:val="000407C0"/>
    <w:rsid w:val="00045A8E"/>
    <w:rsid w:val="00055F3B"/>
    <w:rsid w:val="00061740"/>
    <w:rsid w:val="00077D8E"/>
    <w:rsid w:val="00081CA5"/>
    <w:rsid w:val="00090469"/>
    <w:rsid w:val="0009409B"/>
    <w:rsid w:val="00095023"/>
    <w:rsid w:val="000A328D"/>
    <w:rsid w:val="000B0E80"/>
    <w:rsid w:val="000C01C5"/>
    <w:rsid w:val="000C4742"/>
    <w:rsid w:val="000C4F6E"/>
    <w:rsid w:val="000C606E"/>
    <w:rsid w:val="000D6624"/>
    <w:rsid w:val="000E176D"/>
    <w:rsid w:val="000E5A67"/>
    <w:rsid w:val="000F0E8C"/>
    <w:rsid w:val="000F3569"/>
    <w:rsid w:val="00100531"/>
    <w:rsid w:val="00100B5A"/>
    <w:rsid w:val="001045D4"/>
    <w:rsid w:val="00107F8D"/>
    <w:rsid w:val="00111563"/>
    <w:rsid w:val="00115A34"/>
    <w:rsid w:val="00116F3D"/>
    <w:rsid w:val="00131BBC"/>
    <w:rsid w:val="00132A1D"/>
    <w:rsid w:val="001352B7"/>
    <w:rsid w:val="001361AA"/>
    <w:rsid w:val="00137603"/>
    <w:rsid w:val="001445D3"/>
    <w:rsid w:val="00154132"/>
    <w:rsid w:val="00154CE4"/>
    <w:rsid w:val="001603F5"/>
    <w:rsid w:val="00161380"/>
    <w:rsid w:val="00161769"/>
    <w:rsid w:val="00164435"/>
    <w:rsid w:val="00167FDE"/>
    <w:rsid w:val="001719F7"/>
    <w:rsid w:val="00174EB0"/>
    <w:rsid w:val="001867FE"/>
    <w:rsid w:val="001917AA"/>
    <w:rsid w:val="001B051B"/>
    <w:rsid w:val="001D0935"/>
    <w:rsid w:val="001E2182"/>
    <w:rsid w:val="001E33B0"/>
    <w:rsid w:val="001E38A1"/>
    <w:rsid w:val="001E4A2E"/>
    <w:rsid w:val="001E5F61"/>
    <w:rsid w:val="001E6B73"/>
    <w:rsid w:val="001F6D80"/>
    <w:rsid w:val="002000C8"/>
    <w:rsid w:val="00200138"/>
    <w:rsid w:val="002036E4"/>
    <w:rsid w:val="0021173F"/>
    <w:rsid w:val="00212858"/>
    <w:rsid w:val="00213E72"/>
    <w:rsid w:val="00215E3D"/>
    <w:rsid w:val="00221E36"/>
    <w:rsid w:val="00225ABD"/>
    <w:rsid w:val="0024491D"/>
    <w:rsid w:val="00245B37"/>
    <w:rsid w:val="002508B0"/>
    <w:rsid w:val="00251251"/>
    <w:rsid w:val="00254CD0"/>
    <w:rsid w:val="0025527A"/>
    <w:rsid w:val="002604ED"/>
    <w:rsid w:val="00260C05"/>
    <w:rsid w:val="00264CC5"/>
    <w:rsid w:val="0026599C"/>
    <w:rsid w:val="00267DE5"/>
    <w:rsid w:val="002776A5"/>
    <w:rsid w:val="0028626C"/>
    <w:rsid w:val="00286F89"/>
    <w:rsid w:val="00291386"/>
    <w:rsid w:val="002935E9"/>
    <w:rsid w:val="00293860"/>
    <w:rsid w:val="00294158"/>
    <w:rsid w:val="002955A0"/>
    <w:rsid w:val="0029585B"/>
    <w:rsid w:val="002A011F"/>
    <w:rsid w:val="002A761B"/>
    <w:rsid w:val="002C221A"/>
    <w:rsid w:val="002D2BE2"/>
    <w:rsid w:val="002D58EB"/>
    <w:rsid w:val="002E5AC0"/>
    <w:rsid w:val="0030148B"/>
    <w:rsid w:val="003025E6"/>
    <w:rsid w:val="00313BE0"/>
    <w:rsid w:val="00320E2C"/>
    <w:rsid w:val="00323415"/>
    <w:rsid w:val="00324000"/>
    <w:rsid w:val="00327FAF"/>
    <w:rsid w:val="00342D39"/>
    <w:rsid w:val="003456A7"/>
    <w:rsid w:val="003528D6"/>
    <w:rsid w:val="00356336"/>
    <w:rsid w:val="00362A5E"/>
    <w:rsid w:val="0037161E"/>
    <w:rsid w:val="00373F4C"/>
    <w:rsid w:val="0037429D"/>
    <w:rsid w:val="003760E2"/>
    <w:rsid w:val="00385F93"/>
    <w:rsid w:val="00391123"/>
    <w:rsid w:val="003A0C80"/>
    <w:rsid w:val="003A4CE3"/>
    <w:rsid w:val="003B09C1"/>
    <w:rsid w:val="003B30AB"/>
    <w:rsid w:val="003B7F43"/>
    <w:rsid w:val="003C10B9"/>
    <w:rsid w:val="003C1450"/>
    <w:rsid w:val="003C5DD2"/>
    <w:rsid w:val="003D13DD"/>
    <w:rsid w:val="003F00F9"/>
    <w:rsid w:val="003F0316"/>
    <w:rsid w:val="003F4A64"/>
    <w:rsid w:val="003F649B"/>
    <w:rsid w:val="003F6F2A"/>
    <w:rsid w:val="003F7136"/>
    <w:rsid w:val="00400619"/>
    <w:rsid w:val="00402BAF"/>
    <w:rsid w:val="00407367"/>
    <w:rsid w:val="00407B8F"/>
    <w:rsid w:val="00417680"/>
    <w:rsid w:val="0042247F"/>
    <w:rsid w:val="00434B22"/>
    <w:rsid w:val="004533E1"/>
    <w:rsid w:val="00455BE2"/>
    <w:rsid w:val="00474016"/>
    <w:rsid w:val="00475736"/>
    <w:rsid w:val="00476C1B"/>
    <w:rsid w:val="0048366F"/>
    <w:rsid w:val="00490995"/>
    <w:rsid w:val="00491124"/>
    <w:rsid w:val="00494582"/>
    <w:rsid w:val="00494E60"/>
    <w:rsid w:val="00497326"/>
    <w:rsid w:val="004A21D2"/>
    <w:rsid w:val="004A3183"/>
    <w:rsid w:val="004B0CF3"/>
    <w:rsid w:val="004B60F2"/>
    <w:rsid w:val="004C0784"/>
    <w:rsid w:val="004C5906"/>
    <w:rsid w:val="004D794E"/>
    <w:rsid w:val="004E0A2A"/>
    <w:rsid w:val="004E792A"/>
    <w:rsid w:val="004F15CD"/>
    <w:rsid w:val="004F2349"/>
    <w:rsid w:val="005003C4"/>
    <w:rsid w:val="00507AFA"/>
    <w:rsid w:val="00510CDC"/>
    <w:rsid w:val="005117A5"/>
    <w:rsid w:val="00520E6B"/>
    <w:rsid w:val="00522066"/>
    <w:rsid w:val="00525BCE"/>
    <w:rsid w:val="00527A69"/>
    <w:rsid w:val="0053067B"/>
    <w:rsid w:val="00534AB2"/>
    <w:rsid w:val="00552CA8"/>
    <w:rsid w:val="00576481"/>
    <w:rsid w:val="00584733"/>
    <w:rsid w:val="00590E03"/>
    <w:rsid w:val="00591790"/>
    <w:rsid w:val="005941DF"/>
    <w:rsid w:val="0059507A"/>
    <w:rsid w:val="00597995"/>
    <w:rsid w:val="005A0CCB"/>
    <w:rsid w:val="005A6DEB"/>
    <w:rsid w:val="005B58C3"/>
    <w:rsid w:val="005C245D"/>
    <w:rsid w:val="005C334A"/>
    <w:rsid w:val="005E1642"/>
    <w:rsid w:val="005E310C"/>
    <w:rsid w:val="005F267C"/>
    <w:rsid w:val="005F54A5"/>
    <w:rsid w:val="005F677F"/>
    <w:rsid w:val="0060258E"/>
    <w:rsid w:val="00602E60"/>
    <w:rsid w:val="00603F5E"/>
    <w:rsid w:val="00613193"/>
    <w:rsid w:val="00614A4E"/>
    <w:rsid w:val="0062473B"/>
    <w:rsid w:val="0062620C"/>
    <w:rsid w:val="00641217"/>
    <w:rsid w:val="0065401A"/>
    <w:rsid w:val="0066531B"/>
    <w:rsid w:val="006661A4"/>
    <w:rsid w:val="00671502"/>
    <w:rsid w:val="00671AE5"/>
    <w:rsid w:val="00680784"/>
    <w:rsid w:val="00684257"/>
    <w:rsid w:val="0069192F"/>
    <w:rsid w:val="00693C47"/>
    <w:rsid w:val="006969B8"/>
    <w:rsid w:val="006A3BF0"/>
    <w:rsid w:val="006B244F"/>
    <w:rsid w:val="006B35AE"/>
    <w:rsid w:val="006C0398"/>
    <w:rsid w:val="006C3FE8"/>
    <w:rsid w:val="006C58BF"/>
    <w:rsid w:val="006D2448"/>
    <w:rsid w:val="006D3A49"/>
    <w:rsid w:val="006E0DCA"/>
    <w:rsid w:val="006E18A6"/>
    <w:rsid w:val="006E49C6"/>
    <w:rsid w:val="00700FD2"/>
    <w:rsid w:val="00713597"/>
    <w:rsid w:val="0071677D"/>
    <w:rsid w:val="00725581"/>
    <w:rsid w:val="00734256"/>
    <w:rsid w:val="00735185"/>
    <w:rsid w:val="0073551E"/>
    <w:rsid w:val="007536DB"/>
    <w:rsid w:val="007578EE"/>
    <w:rsid w:val="00760222"/>
    <w:rsid w:val="007643C0"/>
    <w:rsid w:val="00767D0F"/>
    <w:rsid w:val="00775A05"/>
    <w:rsid w:val="00785E10"/>
    <w:rsid w:val="00787704"/>
    <w:rsid w:val="00790740"/>
    <w:rsid w:val="007929D2"/>
    <w:rsid w:val="007A103E"/>
    <w:rsid w:val="007A1479"/>
    <w:rsid w:val="007A4499"/>
    <w:rsid w:val="007B16F6"/>
    <w:rsid w:val="007B25BD"/>
    <w:rsid w:val="007B5514"/>
    <w:rsid w:val="007C2C2E"/>
    <w:rsid w:val="007C39D7"/>
    <w:rsid w:val="007D17CB"/>
    <w:rsid w:val="007D1FBE"/>
    <w:rsid w:val="007D64C5"/>
    <w:rsid w:val="007D745D"/>
    <w:rsid w:val="007E1FC9"/>
    <w:rsid w:val="007F0F75"/>
    <w:rsid w:val="007F1681"/>
    <w:rsid w:val="007F6017"/>
    <w:rsid w:val="007F79AD"/>
    <w:rsid w:val="0080671D"/>
    <w:rsid w:val="00806DD6"/>
    <w:rsid w:val="008256AF"/>
    <w:rsid w:val="0082695D"/>
    <w:rsid w:val="0083350C"/>
    <w:rsid w:val="00834E40"/>
    <w:rsid w:val="00836D4A"/>
    <w:rsid w:val="00846687"/>
    <w:rsid w:val="0084759A"/>
    <w:rsid w:val="00862060"/>
    <w:rsid w:val="008817F1"/>
    <w:rsid w:val="00883154"/>
    <w:rsid w:val="00884424"/>
    <w:rsid w:val="008A25D8"/>
    <w:rsid w:val="008A5111"/>
    <w:rsid w:val="008B0F18"/>
    <w:rsid w:val="008B3BA9"/>
    <w:rsid w:val="008B5269"/>
    <w:rsid w:val="008B6853"/>
    <w:rsid w:val="008B7BFF"/>
    <w:rsid w:val="008C39F4"/>
    <w:rsid w:val="008D1DE5"/>
    <w:rsid w:val="008D1EEF"/>
    <w:rsid w:val="008D223E"/>
    <w:rsid w:val="008E73D7"/>
    <w:rsid w:val="008F4D68"/>
    <w:rsid w:val="009003AD"/>
    <w:rsid w:val="00901AAF"/>
    <w:rsid w:val="009039DC"/>
    <w:rsid w:val="0090452C"/>
    <w:rsid w:val="00911CC9"/>
    <w:rsid w:val="0091248F"/>
    <w:rsid w:val="0091507A"/>
    <w:rsid w:val="00915ACC"/>
    <w:rsid w:val="00923EC9"/>
    <w:rsid w:val="00925F24"/>
    <w:rsid w:val="009314A3"/>
    <w:rsid w:val="00931B4A"/>
    <w:rsid w:val="00937382"/>
    <w:rsid w:val="0094360D"/>
    <w:rsid w:val="00945431"/>
    <w:rsid w:val="0095021A"/>
    <w:rsid w:val="009567C1"/>
    <w:rsid w:val="0095712F"/>
    <w:rsid w:val="009617B4"/>
    <w:rsid w:val="009626E7"/>
    <w:rsid w:val="0096722C"/>
    <w:rsid w:val="00967E45"/>
    <w:rsid w:val="00970E73"/>
    <w:rsid w:val="00971280"/>
    <w:rsid w:val="0097129E"/>
    <w:rsid w:val="00971650"/>
    <w:rsid w:val="00981AF9"/>
    <w:rsid w:val="00983889"/>
    <w:rsid w:val="00984AEC"/>
    <w:rsid w:val="009850D1"/>
    <w:rsid w:val="00991368"/>
    <w:rsid w:val="009934B1"/>
    <w:rsid w:val="009A04E6"/>
    <w:rsid w:val="009A6A13"/>
    <w:rsid w:val="009B0D0F"/>
    <w:rsid w:val="009C0FF2"/>
    <w:rsid w:val="009D1E0B"/>
    <w:rsid w:val="009E28EF"/>
    <w:rsid w:val="009E568E"/>
    <w:rsid w:val="009E5F1B"/>
    <w:rsid w:val="009E6C09"/>
    <w:rsid w:val="00A11E76"/>
    <w:rsid w:val="00A17315"/>
    <w:rsid w:val="00A22B3E"/>
    <w:rsid w:val="00A247DC"/>
    <w:rsid w:val="00A272D1"/>
    <w:rsid w:val="00A334C9"/>
    <w:rsid w:val="00A34D4F"/>
    <w:rsid w:val="00A41197"/>
    <w:rsid w:val="00A447A2"/>
    <w:rsid w:val="00A50FE5"/>
    <w:rsid w:val="00A51EEC"/>
    <w:rsid w:val="00A61EF3"/>
    <w:rsid w:val="00A810ED"/>
    <w:rsid w:val="00A81105"/>
    <w:rsid w:val="00A82062"/>
    <w:rsid w:val="00A8410A"/>
    <w:rsid w:val="00A96C2C"/>
    <w:rsid w:val="00A9704F"/>
    <w:rsid w:val="00AA3A79"/>
    <w:rsid w:val="00AA51C3"/>
    <w:rsid w:val="00AB6BAC"/>
    <w:rsid w:val="00AC2BE4"/>
    <w:rsid w:val="00AC4B6E"/>
    <w:rsid w:val="00AC5B4C"/>
    <w:rsid w:val="00AC62A8"/>
    <w:rsid w:val="00AC7515"/>
    <w:rsid w:val="00AD0079"/>
    <w:rsid w:val="00AD1C7C"/>
    <w:rsid w:val="00AD204F"/>
    <w:rsid w:val="00AD6B93"/>
    <w:rsid w:val="00AD7FE8"/>
    <w:rsid w:val="00AE38C6"/>
    <w:rsid w:val="00AF3B82"/>
    <w:rsid w:val="00AF46E3"/>
    <w:rsid w:val="00B23182"/>
    <w:rsid w:val="00B27B2E"/>
    <w:rsid w:val="00B33BBB"/>
    <w:rsid w:val="00B430D1"/>
    <w:rsid w:val="00B43274"/>
    <w:rsid w:val="00B45447"/>
    <w:rsid w:val="00B57EBF"/>
    <w:rsid w:val="00B633E6"/>
    <w:rsid w:val="00B64026"/>
    <w:rsid w:val="00B64ADF"/>
    <w:rsid w:val="00B668EA"/>
    <w:rsid w:val="00B67A36"/>
    <w:rsid w:val="00B701CF"/>
    <w:rsid w:val="00B765C2"/>
    <w:rsid w:val="00B76F0F"/>
    <w:rsid w:val="00B77119"/>
    <w:rsid w:val="00B81D80"/>
    <w:rsid w:val="00B84293"/>
    <w:rsid w:val="00B8587B"/>
    <w:rsid w:val="00B861CB"/>
    <w:rsid w:val="00B87ED5"/>
    <w:rsid w:val="00B96B90"/>
    <w:rsid w:val="00BA12EC"/>
    <w:rsid w:val="00BA1439"/>
    <w:rsid w:val="00BB3DCF"/>
    <w:rsid w:val="00BB5581"/>
    <w:rsid w:val="00BB7432"/>
    <w:rsid w:val="00BC3459"/>
    <w:rsid w:val="00BC4D79"/>
    <w:rsid w:val="00BC4F7C"/>
    <w:rsid w:val="00BC7218"/>
    <w:rsid w:val="00BD38D2"/>
    <w:rsid w:val="00BE5CE7"/>
    <w:rsid w:val="00BE647D"/>
    <w:rsid w:val="00BF63AE"/>
    <w:rsid w:val="00C12D7A"/>
    <w:rsid w:val="00C14861"/>
    <w:rsid w:val="00C2121E"/>
    <w:rsid w:val="00C22160"/>
    <w:rsid w:val="00C222BB"/>
    <w:rsid w:val="00C2287D"/>
    <w:rsid w:val="00C25481"/>
    <w:rsid w:val="00C25B1E"/>
    <w:rsid w:val="00C30180"/>
    <w:rsid w:val="00C30FA3"/>
    <w:rsid w:val="00C33720"/>
    <w:rsid w:val="00C34B99"/>
    <w:rsid w:val="00C35DA6"/>
    <w:rsid w:val="00C366AA"/>
    <w:rsid w:val="00C37B9D"/>
    <w:rsid w:val="00C402A1"/>
    <w:rsid w:val="00C47737"/>
    <w:rsid w:val="00C47917"/>
    <w:rsid w:val="00C556AE"/>
    <w:rsid w:val="00C5773A"/>
    <w:rsid w:val="00C614C8"/>
    <w:rsid w:val="00C640CA"/>
    <w:rsid w:val="00C64B3D"/>
    <w:rsid w:val="00C72FA7"/>
    <w:rsid w:val="00C74B8A"/>
    <w:rsid w:val="00C81C2F"/>
    <w:rsid w:val="00C85720"/>
    <w:rsid w:val="00C86627"/>
    <w:rsid w:val="00C87F8B"/>
    <w:rsid w:val="00C91E7E"/>
    <w:rsid w:val="00C94020"/>
    <w:rsid w:val="00C94E96"/>
    <w:rsid w:val="00C95830"/>
    <w:rsid w:val="00CA0AFC"/>
    <w:rsid w:val="00CA2503"/>
    <w:rsid w:val="00CA26A9"/>
    <w:rsid w:val="00CA276D"/>
    <w:rsid w:val="00CA3844"/>
    <w:rsid w:val="00CA4D4F"/>
    <w:rsid w:val="00CA4DE6"/>
    <w:rsid w:val="00CB0017"/>
    <w:rsid w:val="00CB15B3"/>
    <w:rsid w:val="00CB1842"/>
    <w:rsid w:val="00CB48CE"/>
    <w:rsid w:val="00CB7644"/>
    <w:rsid w:val="00CC1A4C"/>
    <w:rsid w:val="00CC443F"/>
    <w:rsid w:val="00CC5949"/>
    <w:rsid w:val="00CD1428"/>
    <w:rsid w:val="00CD3254"/>
    <w:rsid w:val="00CD52EA"/>
    <w:rsid w:val="00CD78AE"/>
    <w:rsid w:val="00CE15F5"/>
    <w:rsid w:val="00CE5986"/>
    <w:rsid w:val="00CE60BB"/>
    <w:rsid w:val="00CE60E1"/>
    <w:rsid w:val="00CE742B"/>
    <w:rsid w:val="00CE7C6D"/>
    <w:rsid w:val="00CF0A87"/>
    <w:rsid w:val="00CF44CF"/>
    <w:rsid w:val="00D164F6"/>
    <w:rsid w:val="00D17130"/>
    <w:rsid w:val="00D27684"/>
    <w:rsid w:val="00D30C94"/>
    <w:rsid w:val="00D322C3"/>
    <w:rsid w:val="00D364B0"/>
    <w:rsid w:val="00D43CE5"/>
    <w:rsid w:val="00D44C5E"/>
    <w:rsid w:val="00D546EC"/>
    <w:rsid w:val="00D60754"/>
    <w:rsid w:val="00D63754"/>
    <w:rsid w:val="00D855E7"/>
    <w:rsid w:val="00D91395"/>
    <w:rsid w:val="00D93B67"/>
    <w:rsid w:val="00D9662E"/>
    <w:rsid w:val="00DA0586"/>
    <w:rsid w:val="00DA5FB9"/>
    <w:rsid w:val="00DA60A8"/>
    <w:rsid w:val="00DB403C"/>
    <w:rsid w:val="00DB41D4"/>
    <w:rsid w:val="00DB45DF"/>
    <w:rsid w:val="00DB5DAC"/>
    <w:rsid w:val="00DC0CC2"/>
    <w:rsid w:val="00DC1CDE"/>
    <w:rsid w:val="00DC3882"/>
    <w:rsid w:val="00DC4F4E"/>
    <w:rsid w:val="00DC567F"/>
    <w:rsid w:val="00DD0D0C"/>
    <w:rsid w:val="00DD4FB3"/>
    <w:rsid w:val="00DD6D70"/>
    <w:rsid w:val="00DF0957"/>
    <w:rsid w:val="00DF231B"/>
    <w:rsid w:val="00DF3843"/>
    <w:rsid w:val="00E15B3F"/>
    <w:rsid w:val="00E16820"/>
    <w:rsid w:val="00E25D39"/>
    <w:rsid w:val="00E25DA4"/>
    <w:rsid w:val="00E41A5F"/>
    <w:rsid w:val="00E50465"/>
    <w:rsid w:val="00E50686"/>
    <w:rsid w:val="00E53643"/>
    <w:rsid w:val="00E543ED"/>
    <w:rsid w:val="00E54A8D"/>
    <w:rsid w:val="00E551D5"/>
    <w:rsid w:val="00E65571"/>
    <w:rsid w:val="00E73A54"/>
    <w:rsid w:val="00E74E1A"/>
    <w:rsid w:val="00E759EF"/>
    <w:rsid w:val="00E8350C"/>
    <w:rsid w:val="00E83E4B"/>
    <w:rsid w:val="00E84CEB"/>
    <w:rsid w:val="00E914A7"/>
    <w:rsid w:val="00E979BB"/>
    <w:rsid w:val="00EA0777"/>
    <w:rsid w:val="00EA2EDC"/>
    <w:rsid w:val="00EA5596"/>
    <w:rsid w:val="00EB5A9C"/>
    <w:rsid w:val="00ED3A6B"/>
    <w:rsid w:val="00ED76C2"/>
    <w:rsid w:val="00EE22BE"/>
    <w:rsid w:val="00EF04DF"/>
    <w:rsid w:val="00EF3FC0"/>
    <w:rsid w:val="00EF4391"/>
    <w:rsid w:val="00EF44AB"/>
    <w:rsid w:val="00EF4737"/>
    <w:rsid w:val="00EF4C25"/>
    <w:rsid w:val="00F0276A"/>
    <w:rsid w:val="00F03D81"/>
    <w:rsid w:val="00F111A5"/>
    <w:rsid w:val="00F11983"/>
    <w:rsid w:val="00F21EC7"/>
    <w:rsid w:val="00F24E38"/>
    <w:rsid w:val="00F30876"/>
    <w:rsid w:val="00F35A9B"/>
    <w:rsid w:val="00F416E1"/>
    <w:rsid w:val="00F47E44"/>
    <w:rsid w:val="00F6081A"/>
    <w:rsid w:val="00F64B98"/>
    <w:rsid w:val="00F66E11"/>
    <w:rsid w:val="00F758EC"/>
    <w:rsid w:val="00F77DA4"/>
    <w:rsid w:val="00F843AB"/>
    <w:rsid w:val="00F90BAD"/>
    <w:rsid w:val="00F91F92"/>
    <w:rsid w:val="00F91FFC"/>
    <w:rsid w:val="00F92C74"/>
    <w:rsid w:val="00FA127F"/>
    <w:rsid w:val="00FA56C3"/>
    <w:rsid w:val="00FA5A29"/>
    <w:rsid w:val="00FC3DCF"/>
    <w:rsid w:val="00FC473C"/>
    <w:rsid w:val="00FC7235"/>
    <w:rsid w:val="00FD785F"/>
    <w:rsid w:val="00FF4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AA"/>
    <w:rPr>
      <w:sz w:val="22"/>
      <w:szCs w:val="22"/>
    </w:rPr>
  </w:style>
  <w:style w:type="paragraph" w:styleId="2">
    <w:name w:val="heading 2"/>
    <w:basedOn w:val="a"/>
    <w:next w:val="a"/>
    <w:link w:val="2Char"/>
    <w:uiPriority w:val="9"/>
    <w:semiHidden/>
    <w:unhideWhenUsed/>
    <w:qFormat/>
    <w:rsid w:val="002955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B0D0F"/>
    <w:pPr>
      <w:spacing w:line="360" w:lineRule="auto"/>
      <w:jc w:val="both"/>
      <w:outlineLvl w:val="2"/>
    </w:pPr>
    <w:rPr>
      <w:rFonts w:ascii="Times New Roman" w:eastAsia="AdvTimes" w:hAnsi="Times New Roman" w:cs="Traditional Arabic"/>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6C2"/>
    <w:pPr>
      <w:tabs>
        <w:tab w:val="center" w:pos="4680"/>
        <w:tab w:val="right" w:pos="9360"/>
      </w:tabs>
    </w:pPr>
  </w:style>
  <w:style w:type="character" w:customStyle="1" w:styleId="Char">
    <w:name w:val="رأس الصفحة Char"/>
    <w:basedOn w:val="a0"/>
    <w:link w:val="a3"/>
    <w:uiPriority w:val="99"/>
    <w:rsid w:val="00ED76C2"/>
  </w:style>
  <w:style w:type="paragraph" w:styleId="a4">
    <w:name w:val="List Paragraph"/>
    <w:basedOn w:val="a"/>
    <w:uiPriority w:val="34"/>
    <w:qFormat/>
    <w:rsid w:val="00ED76C2"/>
    <w:pPr>
      <w:ind w:left="720"/>
      <w:contextualSpacing/>
    </w:pPr>
  </w:style>
  <w:style w:type="table" w:styleId="a5">
    <w:name w:val="Table Grid"/>
    <w:basedOn w:val="a1"/>
    <w:uiPriority w:val="39"/>
    <w:rsid w:val="00ED76C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ED76C2"/>
    <w:rPr>
      <w:i/>
      <w:iCs/>
    </w:rPr>
  </w:style>
  <w:style w:type="paragraph" w:styleId="a7">
    <w:name w:val="footer"/>
    <w:basedOn w:val="a"/>
    <w:link w:val="Char0"/>
    <w:uiPriority w:val="99"/>
    <w:unhideWhenUsed/>
    <w:rsid w:val="00ED76C2"/>
    <w:pPr>
      <w:tabs>
        <w:tab w:val="center" w:pos="4680"/>
        <w:tab w:val="right" w:pos="9360"/>
      </w:tabs>
    </w:pPr>
  </w:style>
  <w:style w:type="character" w:customStyle="1" w:styleId="Char0">
    <w:name w:val="تذييل الصفحة Char"/>
    <w:basedOn w:val="a0"/>
    <w:link w:val="a7"/>
    <w:uiPriority w:val="99"/>
    <w:rsid w:val="00ED76C2"/>
  </w:style>
  <w:style w:type="paragraph" w:styleId="a8">
    <w:name w:val="Balloon Text"/>
    <w:basedOn w:val="a"/>
    <w:link w:val="Char1"/>
    <w:uiPriority w:val="99"/>
    <w:semiHidden/>
    <w:unhideWhenUsed/>
    <w:rsid w:val="00ED76C2"/>
    <w:rPr>
      <w:rFonts w:ascii="Tahoma" w:hAnsi="Tahoma" w:cs="Tahoma"/>
      <w:sz w:val="16"/>
      <w:szCs w:val="16"/>
    </w:rPr>
  </w:style>
  <w:style w:type="character" w:customStyle="1" w:styleId="Char1">
    <w:name w:val="نص في بالون Char"/>
    <w:link w:val="a8"/>
    <w:uiPriority w:val="99"/>
    <w:semiHidden/>
    <w:rsid w:val="00ED76C2"/>
    <w:rPr>
      <w:rFonts w:ascii="Tahoma" w:hAnsi="Tahoma" w:cs="Tahoma"/>
      <w:sz w:val="16"/>
      <w:szCs w:val="16"/>
    </w:rPr>
  </w:style>
  <w:style w:type="paragraph" w:styleId="HTML">
    <w:name w:val="HTML Preformatted"/>
    <w:basedOn w:val="a"/>
    <w:link w:val="HTMLChar"/>
    <w:uiPriority w:val="99"/>
    <w:semiHidden/>
    <w:unhideWhenUsed/>
    <w:rsid w:val="00680784"/>
    <w:rPr>
      <w:rFonts w:ascii="Consolas" w:hAnsi="Consolas" w:cs="Consolas"/>
      <w:sz w:val="20"/>
      <w:szCs w:val="20"/>
    </w:rPr>
  </w:style>
  <w:style w:type="character" w:customStyle="1" w:styleId="HTMLChar">
    <w:name w:val="بتنسيق HTML مسبق Char"/>
    <w:link w:val="HTML"/>
    <w:uiPriority w:val="99"/>
    <w:semiHidden/>
    <w:rsid w:val="00680784"/>
    <w:rPr>
      <w:rFonts w:ascii="Consolas" w:hAnsi="Consolas" w:cs="Consolas"/>
      <w:sz w:val="20"/>
      <w:szCs w:val="20"/>
    </w:rPr>
  </w:style>
  <w:style w:type="character" w:styleId="Hyperlink">
    <w:name w:val="Hyperlink"/>
    <w:uiPriority w:val="99"/>
    <w:unhideWhenUsed/>
    <w:rsid w:val="001E5F61"/>
    <w:rPr>
      <w:color w:val="0000FF"/>
      <w:u w:val="single"/>
    </w:rPr>
  </w:style>
  <w:style w:type="character" w:styleId="a9">
    <w:name w:val="annotation reference"/>
    <w:uiPriority w:val="99"/>
    <w:semiHidden/>
    <w:unhideWhenUsed/>
    <w:rsid w:val="00B633E6"/>
    <w:rPr>
      <w:sz w:val="16"/>
      <w:szCs w:val="16"/>
    </w:rPr>
  </w:style>
  <w:style w:type="paragraph" w:styleId="aa">
    <w:name w:val="annotation text"/>
    <w:basedOn w:val="a"/>
    <w:link w:val="Char2"/>
    <w:uiPriority w:val="99"/>
    <w:semiHidden/>
    <w:unhideWhenUsed/>
    <w:rsid w:val="00B633E6"/>
    <w:rPr>
      <w:sz w:val="20"/>
      <w:szCs w:val="20"/>
    </w:rPr>
  </w:style>
  <w:style w:type="character" w:customStyle="1" w:styleId="Char2">
    <w:name w:val="نص تعليق Char"/>
    <w:link w:val="aa"/>
    <w:uiPriority w:val="99"/>
    <w:semiHidden/>
    <w:rsid w:val="00B633E6"/>
    <w:rPr>
      <w:sz w:val="20"/>
      <w:szCs w:val="20"/>
    </w:rPr>
  </w:style>
  <w:style w:type="paragraph" w:styleId="ab">
    <w:name w:val="annotation subject"/>
    <w:basedOn w:val="aa"/>
    <w:next w:val="aa"/>
    <w:link w:val="Char3"/>
    <w:uiPriority w:val="99"/>
    <w:semiHidden/>
    <w:unhideWhenUsed/>
    <w:rsid w:val="00B633E6"/>
    <w:rPr>
      <w:b/>
      <w:bCs/>
    </w:rPr>
  </w:style>
  <w:style w:type="character" w:customStyle="1" w:styleId="Char3">
    <w:name w:val="موضوع تعليق Char"/>
    <w:link w:val="ab"/>
    <w:uiPriority w:val="99"/>
    <w:semiHidden/>
    <w:rsid w:val="00B633E6"/>
    <w:rPr>
      <w:b/>
      <w:bCs/>
      <w:sz w:val="20"/>
      <w:szCs w:val="20"/>
    </w:rPr>
  </w:style>
  <w:style w:type="paragraph" w:styleId="ac">
    <w:name w:val="No Spacing"/>
    <w:uiPriority w:val="1"/>
    <w:qFormat/>
    <w:rsid w:val="00356336"/>
    <w:pPr>
      <w:spacing w:after="200" w:line="360" w:lineRule="auto"/>
      <w:ind w:firstLine="720"/>
      <w:jc w:val="lowKashida"/>
    </w:pPr>
    <w:rPr>
      <w:sz w:val="22"/>
      <w:szCs w:val="22"/>
    </w:rPr>
  </w:style>
  <w:style w:type="character" w:customStyle="1" w:styleId="3Char">
    <w:name w:val="عنوان 3 Char"/>
    <w:link w:val="3"/>
    <w:uiPriority w:val="9"/>
    <w:rsid w:val="009B0D0F"/>
    <w:rPr>
      <w:rFonts w:ascii="Times New Roman" w:eastAsia="AdvTimes" w:hAnsi="Times New Roman" w:cs="Traditional Arabic"/>
      <w:b/>
      <w:bCs/>
      <w:sz w:val="28"/>
      <w:szCs w:val="18"/>
    </w:rPr>
  </w:style>
  <w:style w:type="numbering" w:customStyle="1" w:styleId="NoList1">
    <w:name w:val="No List1"/>
    <w:next w:val="a2"/>
    <w:uiPriority w:val="99"/>
    <w:semiHidden/>
    <w:unhideWhenUsed/>
    <w:rsid w:val="009B0D0F"/>
  </w:style>
  <w:style w:type="paragraph" w:customStyle="1" w:styleId="Default">
    <w:name w:val="Default"/>
    <w:rsid w:val="009B0D0F"/>
    <w:pPr>
      <w:autoSpaceDE w:val="0"/>
      <w:autoSpaceDN w:val="0"/>
      <w:adjustRightInd w:val="0"/>
      <w:spacing w:after="200" w:line="360" w:lineRule="auto"/>
      <w:ind w:firstLine="720"/>
      <w:jc w:val="lowKashida"/>
    </w:pPr>
    <w:rPr>
      <w:rFonts w:ascii="Tahoma" w:hAnsi="Tahoma" w:cs="Tahoma"/>
      <w:color w:val="000000"/>
      <w:sz w:val="24"/>
      <w:szCs w:val="24"/>
    </w:rPr>
  </w:style>
  <w:style w:type="table" w:customStyle="1" w:styleId="TableGrid1">
    <w:name w:val="Table Grid1"/>
    <w:basedOn w:val="a1"/>
    <w:next w:val="a5"/>
    <w:uiPriority w:val="39"/>
    <w:rsid w:val="009B0D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9B0D0F"/>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a1"/>
    <w:next w:val="a5"/>
    <w:uiPriority w:val="39"/>
    <w:rsid w:val="009B0D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Char4"/>
    <w:uiPriority w:val="99"/>
    <w:semiHidden/>
    <w:unhideWhenUsed/>
    <w:rsid w:val="009B0D0F"/>
    <w:pPr>
      <w:bidi/>
    </w:pPr>
    <w:rPr>
      <w:sz w:val="20"/>
      <w:szCs w:val="20"/>
    </w:rPr>
  </w:style>
  <w:style w:type="character" w:customStyle="1" w:styleId="Char4">
    <w:name w:val="نص حاشية سفلية Char"/>
    <w:basedOn w:val="a0"/>
    <w:link w:val="ad"/>
    <w:uiPriority w:val="99"/>
    <w:semiHidden/>
    <w:rsid w:val="009B0D0F"/>
  </w:style>
  <w:style w:type="character" w:styleId="ae">
    <w:name w:val="footnote reference"/>
    <w:uiPriority w:val="99"/>
    <w:semiHidden/>
    <w:unhideWhenUsed/>
    <w:rsid w:val="009B0D0F"/>
    <w:rPr>
      <w:vertAlign w:val="superscript"/>
    </w:rPr>
  </w:style>
  <w:style w:type="paragraph" w:styleId="af">
    <w:name w:val="Bibliography"/>
    <w:basedOn w:val="a"/>
    <w:next w:val="a"/>
    <w:uiPriority w:val="37"/>
    <w:unhideWhenUsed/>
    <w:rsid w:val="009B0D0F"/>
    <w:pPr>
      <w:tabs>
        <w:tab w:val="left" w:pos="624"/>
      </w:tabs>
      <w:bidi/>
      <w:ind w:left="624" w:hanging="624"/>
    </w:pPr>
  </w:style>
  <w:style w:type="paragraph" w:customStyle="1" w:styleId="Pa5">
    <w:name w:val="Pa5"/>
    <w:basedOn w:val="Default"/>
    <w:next w:val="Default"/>
    <w:uiPriority w:val="99"/>
    <w:rsid w:val="009B0D0F"/>
    <w:pPr>
      <w:spacing w:line="201" w:lineRule="atLeast"/>
    </w:pPr>
    <w:rPr>
      <w:rFonts w:ascii="Times New Roman" w:hAnsi="Times New Roman" w:cs="Times New Roman"/>
      <w:color w:val="auto"/>
    </w:rPr>
  </w:style>
  <w:style w:type="character" w:customStyle="1" w:styleId="A30">
    <w:name w:val="A3"/>
    <w:uiPriority w:val="99"/>
    <w:rsid w:val="009B0D0F"/>
    <w:rPr>
      <w:color w:val="000000"/>
      <w:sz w:val="14"/>
      <w:szCs w:val="14"/>
    </w:rPr>
  </w:style>
  <w:style w:type="character" w:customStyle="1" w:styleId="A10">
    <w:name w:val="A10"/>
    <w:uiPriority w:val="99"/>
    <w:rsid w:val="009B0D0F"/>
    <w:rPr>
      <w:color w:val="000000"/>
      <w:sz w:val="12"/>
      <w:szCs w:val="12"/>
    </w:rPr>
  </w:style>
  <w:style w:type="character" w:styleId="af0">
    <w:name w:val="Placeholder Text"/>
    <w:uiPriority w:val="99"/>
    <w:semiHidden/>
    <w:rsid w:val="009B0D0F"/>
    <w:rPr>
      <w:color w:val="808080"/>
    </w:rPr>
  </w:style>
  <w:style w:type="paragraph" w:styleId="af1">
    <w:name w:val="Body Text"/>
    <w:basedOn w:val="a"/>
    <w:link w:val="Char5"/>
    <w:uiPriority w:val="99"/>
    <w:unhideWhenUsed/>
    <w:rsid w:val="009B0D0F"/>
    <w:pPr>
      <w:bidi/>
      <w:spacing w:after="120"/>
    </w:pPr>
  </w:style>
  <w:style w:type="character" w:customStyle="1" w:styleId="Char5">
    <w:name w:val="نص أساسي Char"/>
    <w:link w:val="af1"/>
    <w:uiPriority w:val="99"/>
    <w:rsid w:val="009B0D0F"/>
    <w:rPr>
      <w:sz w:val="22"/>
      <w:szCs w:val="22"/>
    </w:rPr>
  </w:style>
  <w:style w:type="paragraph" w:customStyle="1" w:styleId="1">
    <w:name w:val="نمط1"/>
    <w:basedOn w:val="a"/>
    <w:link w:val="1Char"/>
    <w:qFormat/>
    <w:rsid w:val="007F6017"/>
    <w:pPr>
      <w:autoSpaceDE w:val="0"/>
      <w:autoSpaceDN w:val="0"/>
      <w:adjustRightInd w:val="0"/>
      <w:spacing w:line="360" w:lineRule="auto"/>
      <w:jc w:val="both"/>
    </w:pPr>
    <w:rPr>
      <w:rFonts w:ascii="Times New Roman" w:eastAsia="Times New Roman" w:hAnsi="Times New Roman" w:cs="Times New Roman"/>
      <w:b/>
      <w:bCs/>
      <w:sz w:val="20"/>
      <w:szCs w:val="20"/>
      <w:lang w:bidi="ar-IQ"/>
    </w:rPr>
  </w:style>
  <w:style w:type="character" w:customStyle="1" w:styleId="xref">
    <w:name w:val="xref"/>
    <w:rsid w:val="00590E03"/>
  </w:style>
  <w:style w:type="character" w:customStyle="1" w:styleId="1Char">
    <w:name w:val="نمط1 Char"/>
    <w:link w:val="1"/>
    <w:rsid w:val="007F6017"/>
    <w:rPr>
      <w:rFonts w:ascii="Times New Roman" w:eastAsia="Times New Roman" w:hAnsi="Times New Roman" w:cs="Times New Roman"/>
      <w:b/>
      <w:bCs/>
      <w:lang w:bidi="ar-IQ"/>
    </w:rPr>
  </w:style>
  <w:style w:type="table" w:customStyle="1" w:styleId="TableGrid11">
    <w:name w:val="Table Grid11"/>
    <w:basedOn w:val="a1"/>
    <w:next w:val="a5"/>
    <w:uiPriority w:val="39"/>
    <w:rsid w:val="007D74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E914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C5773A"/>
    <w:rPr>
      <w:color w:val="605E5C"/>
      <w:shd w:val="clear" w:color="auto" w:fill="E1DFDD"/>
    </w:rPr>
  </w:style>
  <w:style w:type="character" w:customStyle="1" w:styleId="2Char">
    <w:name w:val="عنوان 2 Char"/>
    <w:basedOn w:val="a0"/>
    <w:link w:val="2"/>
    <w:uiPriority w:val="9"/>
    <w:semiHidden/>
    <w:rsid w:val="002955A0"/>
    <w:rPr>
      <w:rFonts w:asciiTheme="majorHAnsi" w:eastAsiaTheme="majorEastAsia" w:hAnsiTheme="majorHAnsi" w:cstheme="majorBidi"/>
      <w:color w:val="2F5496" w:themeColor="accent1" w:themeShade="BF"/>
      <w:sz w:val="26"/>
      <w:szCs w:val="26"/>
    </w:rPr>
  </w:style>
  <w:style w:type="table" w:customStyle="1" w:styleId="TableGrid5">
    <w:name w:val="Table Grid5"/>
    <w:basedOn w:val="a1"/>
    <w:next w:val="a5"/>
    <w:uiPriority w:val="59"/>
    <w:rsid w:val="00B858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5"/>
    <w:uiPriority w:val="59"/>
    <w:rsid w:val="00B858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59"/>
    <w:rsid w:val="00B858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A011F"/>
    <w:rPr>
      <w:color w:val="605E5C"/>
      <w:shd w:val="clear" w:color="auto" w:fill="E1DFDD"/>
    </w:rPr>
  </w:style>
  <w:style w:type="table" w:customStyle="1" w:styleId="TableGrid8">
    <w:name w:val="Table Grid8"/>
    <w:basedOn w:val="a1"/>
    <w:next w:val="a5"/>
    <w:uiPriority w:val="59"/>
    <w:rsid w:val="00984A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5"/>
    <w:uiPriority w:val="59"/>
    <w:rsid w:val="00984A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5"/>
    <w:uiPriority w:val="59"/>
    <w:rsid w:val="003A4CE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5"/>
    <w:uiPriority w:val="59"/>
    <w:rsid w:val="00215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5"/>
    <w:uiPriority w:val="59"/>
    <w:rsid w:val="00215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5"/>
    <w:uiPriority w:val="59"/>
    <w:rsid w:val="00525B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AA"/>
    <w:rPr>
      <w:sz w:val="22"/>
      <w:szCs w:val="22"/>
    </w:rPr>
  </w:style>
  <w:style w:type="paragraph" w:styleId="2">
    <w:name w:val="heading 2"/>
    <w:basedOn w:val="a"/>
    <w:next w:val="a"/>
    <w:link w:val="2Char"/>
    <w:uiPriority w:val="9"/>
    <w:semiHidden/>
    <w:unhideWhenUsed/>
    <w:qFormat/>
    <w:rsid w:val="002955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B0D0F"/>
    <w:pPr>
      <w:spacing w:line="360" w:lineRule="auto"/>
      <w:jc w:val="both"/>
      <w:outlineLvl w:val="2"/>
    </w:pPr>
    <w:rPr>
      <w:rFonts w:ascii="Times New Roman" w:eastAsia="AdvTimes" w:hAnsi="Times New Roman" w:cs="Traditional Arabic"/>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6C2"/>
    <w:pPr>
      <w:tabs>
        <w:tab w:val="center" w:pos="4680"/>
        <w:tab w:val="right" w:pos="9360"/>
      </w:tabs>
    </w:pPr>
  </w:style>
  <w:style w:type="character" w:customStyle="1" w:styleId="Char">
    <w:name w:val="رأس الصفحة Char"/>
    <w:basedOn w:val="a0"/>
    <w:link w:val="a3"/>
    <w:uiPriority w:val="99"/>
    <w:rsid w:val="00ED76C2"/>
  </w:style>
  <w:style w:type="paragraph" w:styleId="a4">
    <w:name w:val="List Paragraph"/>
    <w:basedOn w:val="a"/>
    <w:uiPriority w:val="34"/>
    <w:qFormat/>
    <w:rsid w:val="00ED76C2"/>
    <w:pPr>
      <w:ind w:left="720"/>
      <w:contextualSpacing/>
    </w:pPr>
  </w:style>
  <w:style w:type="table" w:styleId="a5">
    <w:name w:val="Table Grid"/>
    <w:basedOn w:val="a1"/>
    <w:uiPriority w:val="39"/>
    <w:rsid w:val="00ED76C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ED76C2"/>
    <w:rPr>
      <w:i/>
      <w:iCs/>
    </w:rPr>
  </w:style>
  <w:style w:type="paragraph" w:styleId="a7">
    <w:name w:val="footer"/>
    <w:basedOn w:val="a"/>
    <w:link w:val="Char0"/>
    <w:uiPriority w:val="99"/>
    <w:unhideWhenUsed/>
    <w:rsid w:val="00ED76C2"/>
    <w:pPr>
      <w:tabs>
        <w:tab w:val="center" w:pos="4680"/>
        <w:tab w:val="right" w:pos="9360"/>
      </w:tabs>
    </w:pPr>
  </w:style>
  <w:style w:type="character" w:customStyle="1" w:styleId="Char0">
    <w:name w:val="تذييل الصفحة Char"/>
    <w:basedOn w:val="a0"/>
    <w:link w:val="a7"/>
    <w:uiPriority w:val="99"/>
    <w:rsid w:val="00ED76C2"/>
  </w:style>
  <w:style w:type="paragraph" w:styleId="a8">
    <w:name w:val="Balloon Text"/>
    <w:basedOn w:val="a"/>
    <w:link w:val="Char1"/>
    <w:uiPriority w:val="99"/>
    <w:semiHidden/>
    <w:unhideWhenUsed/>
    <w:rsid w:val="00ED76C2"/>
    <w:rPr>
      <w:rFonts w:ascii="Tahoma" w:hAnsi="Tahoma" w:cs="Tahoma"/>
      <w:sz w:val="16"/>
      <w:szCs w:val="16"/>
    </w:rPr>
  </w:style>
  <w:style w:type="character" w:customStyle="1" w:styleId="Char1">
    <w:name w:val="نص في بالون Char"/>
    <w:link w:val="a8"/>
    <w:uiPriority w:val="99"/>
    <w:semiHidden/>
    <w:rsid w:val="00ED76C2"/>
    <w:rPr>
      <w:rFonts w:ascii="Tahoma" w:hAnsi="Tahoma" w:cs="Tahoma"/>
      <w:sz w:val="16"/>
      <w:szCs w:val="16"/>
    </w:rPr>
  </w:style>
  <w:style w:type="paragraph" w:styleId="HTML">
    <w:name w:val="HTML Preformatted"/>
    <w:basedOn w:val="a"/>
    <w:link w:val="HTMLChar"/>
    <w:uiPriority w:val="99"/>
    <w:semiHidden/>
    <w:unhideWhenUsed/>
    <w:rsid w:val="00680784"/>
    <w:rPr>
      <w:rFonts w:ascii="Consolas" w:hAnsi="Consolas" w:cs="Consolas"/>
      <w:sz w:val="20"/>
      <w:szCs w:val="20"/>
    </w:rPr>
  </w:style>
  <w:style w:type="character" w:customStyle="1" w:styleId="HTMLChar">
    <w:name w:val="بتنسيق HTML مسبق Char"/>
    <w:link w:val="HTML"/>
    <w:uiPriority w:val="99"/>
    <w:semiHidden/>
    <w:rsid w:val="00680784"/>
    <w:rPr>
      <w:rFonts w:ascii="Consolas" w:hAnsi="Consolas" w:cs="Consolas"/>
      <w:sz w:val="20"/>
      <w:szCs w:val="20"/>
    </w:rPr>
  </w:style>
  <w:style w:type="character" w:styleId="Hyperlink">
    <w:name w:val="Hyperlink"/>
    <w:uiPriority w:val="99"/>
    <w:unhideWhenUsed/>
    <w:rsid w:val="001E5F61"/>
    <w:rPr>
      <w:color w:val="0000FF"/>
      <w:u w:val="single"/>
    </w:rPr>
  </w:style>
  <w:style w:type="character" w:styleId="a9">
    <w:name w:val="annotation reference"/>
    <w:uiPriority w:val="99"/>
    <w:semiHidden/>
    <w:unhideWhenUsed/>
    <w:rsid w:val="00B633E6"/>
    <w:rPr>
      <w:sz w:val="16"/>
      <w:szCs w:val="16"/>
    </w:rPr>
  </w:style>
  <w:style w:type="paragraph" w:styleId="aa">
    <w:name w:val="annotation text"/>
    <w:basedOn w:val="a"/>
    <w:link w:val="Char2"/>
    <w:uiPriority w:val="99"/>
    <w:semiHidden/>
    <w:unhideWhenUsed/>
    <w:rsid w:val="00B633E6"/>
    <w:rPr>
      <w:sz w:val="20"/>
      <w:szCs w:val="20"/>
    </w:rPr>
  </w:style>
  <w:style w:type="character" w:customStyle="1" w:styleId="Char2">
    <w:name w:val="نص تعليق Char"/>
    <w:link w:val="aa"/>
    <w:uiPriority w:val="99"/>
    <w:semiHidden/>
    <w:rsid w:val="00B633E6"/>
    <w:rPr>
      <w:sz w:val="20"/>
      <w:szCs w:val="20"/>
    </w:rPr>
  </w:style>
  <w:style w:type="paragraph" w:styleId="ab">
    <w:name w:val="annotation subject"/>
    <w:basedOn w:val="aa"/>
    <w:next w:val="aa"/>
    <w:link w:val="Char3"/>
    <w:uiPriority w:val="99"/>
    <w:semiHidden/>
    <w:unhideWhenUsed/>
    <w:rsid w:val="00B633E6"/>
    <w:rPr>
      <w:b/>
      <w:bCs/>
    </w:rPr>
  </w:style>
  <w:style w:type="character" w:customStyle="1" w:styleId="Char3">
    <w:name w:val="موضوع تعليق Char"/>
    <w:link w:val="ab"/>
    <w:uiPriority w:val="99"/>
    <w:semiHidden/>
    <w:rsid w:val="00B633E6"/>
    <w:rPr>
      <w:b/>
      <w:bCs/>
      <w:sz w:val="20"/>
      <w:szCs w:val="20"/>
    </w:rPr>
  </w:style>
  <w:style w:type="paragraph" w:styleId="ac">
    <w:name w:val="No Spacing"/>
    <w:uiPriority w:val="1"/>
    <w:qFormat/>
    <w:rsid w:val="00356336"/>
    <w:pPr>
      <w:spacing w:after="200" w:line="360" w:lineRule="auto"/>
      <w:ind w:firstLine="720"/>
      <w:jc w:val="lowKashida"/>
    </w:pPr>
    <w:rPr>
      <w:sz w:val="22"/>
      <w:szCs w:val="22"/>
    </w:rPr>
  </w:style>
  <w:style w:type="character" w:customStyle="1" w:styleId="3Char">
    <w:name w:val="عنوان 3 Char"/>
    <w:link w:val="3"/>
    <w:uiPriority w:val="9"/>
    <w:rsid w:val="009B0D0F"/>
    <w:rPr>
      <w:rFonts w:ascii="Times New Roman" w:eastAsia="AdvTimes" w:hAnsi="Times New Roman" w:cs="Traditional Arabic"/>
      <w:b/>
      <w:bCs/>
      <w:sz w:val="28"/>
      <w:szCs w:val="18"/>
    </w:rPr>
  </w:style>
  <w:style w:type="numbering" w:customStyle="1" w:styleId="NoList1">
    <w:name w:val="No List1"/>
    <w:next w:val="a2"/>
    <w:uiPriority w:val="99"/>
    <w:semiHidden/>
    <w:unhideWhenUsed/>
    <w:rsid w:val="009B0D0F"/>
  </w:style>
  <w:style w:type="paragraph" w:customStyle="1" w:styleId="Default">
    <w:name w:val="Default"/>
    <w:rsid w:val="009B0D0F"/>
    <w:pPr>
      <w:autoSpaceDE w:val="0"/>
      <w:autoSpaceDN w:val="0"/>
      <w:adjustRightInd w:val="0"/>
      <w:spacing w:after="200" w:line="360" w:lineRule="auto"/>
      <w:ind w:firstLine="720"/>
      <w:jc w:val="lowKashida"/>
    </w:pPr>
    <w:rPr>
      <w:rFonts w:ascii="Tahoma" w:hAnsi="Tahoma" w:cs="Tahoma"/>
      <w:color w:val="000000"/>
      <w:sz w:val="24"/>
      <w:szCs w:val="24"/>
    </w:rPr>
  </w:style>
  <w:style w:type="table" w:customStyle="1" w:styleId="TableGrid1">
    <w:name w:val="Table Grid1"/>
    <w:basedOn w:val="a1"/>
    <w:next w:val="a5"/>
    <w:uiPriority w:val="39"/>
    <w:rsid w:val="009B0D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9B0D0F"/>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a1"/>
    <w:next w:val="a5"/>
    <w:uiPriority w:val="39"/>
    <w:rsid w:val="009B0D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Char4"/>
    <w:uiPriority w:val="99"/>
    <w:semiHidden/>
    <w:unhideWhenUsed/>
    <w:rsid w:val="009B0D0F"/>
    <w:pPr>
      <w:bidi/>
    </w:pPr>
    <w:rPr>
      <w:sz w:val="20"/>
      <w:szCs w:val="20"/>
    </w:rPr>
  </w:style>
  <w:style w:type="character" w:customStyle="1" w:styleId="Char4">
    <w:name w:val="نص حاشية سفلية Char"/>
    <w:basedOn w:val="a0"/>
    <w:link w:val="ad"/>
    <w:uiPriority w:val="99"/>
    <w:semiHidden/>
    <w:rsid w:val="009B0D0F"/>
  </w:style>
  <w:style w:type="character" w:styleId="ae">
    <w:name w:val="footnote reference"/>
    <w:uiPriority w:val="99"/>
    <w:semiHidden/>
    <w:unhideWhenUsed/>
    <w:rsid w:val="009B0D0F"/>
    <w:rPr>
      <w:vertAlign w:val="superscript"/>
    </w:rPr>
  </w:style>
  <w:style w:type="paragraph" w:styleId="af">
    <w:name w:val="Bibliography"/>
    <w:basedOn w:val="a"/>
    <w:next w:val="a"/>
    <w:uiPriority w:val="37"/>
    <w:unhideWhenUsed/>
    <w:rsid w:val="009B0D0F"/>
    <w:pPr>
      <w:tabs>
        <w:tab w:val="left" w:pos="624"/>
      </w:tabs>
      <w:bidi/>
      <w:ind w:left="624" w:hanging="624"/>
    </w:pPr>
  </w:style>
  <w:style w:type="paragraph" w:customStyle="1" w:styleId="Pa5">
    <w:name w:val="Pa5"/>
    <w:basedOn w:val="Default"/>
    <w:next w:val="Default"/>
    <w:uiPriority w:val="99"/>
    <w:rsid w:val="009B0D0F"/>
    <w:pPr>
      <w:spacing w:line="201" w:lineRule="atLeast"/>
    </w:pPr>
    <w:rPr>
      <w:rFonts w:ascii="Times New Roman" w:hAnsi="Times New Roman" w:cs="Times New Roman"/>
      <w:color w:val="auto"/>
    </w:rPr>
  </w:style>
  <w:style w:type="character" w:customStyle="1" w:styleId="A30">
    <w:name w:val="A3"/>
    <w:uiPriority w:val="99"/>
    <w:rsid w:val="009B0D0F"/>
    <w:rPr>
      <w:color w:val="000000"/>
      <w:sz w:val="14"/>
      <w:szCs w:val="14"/>
    </w:rPr>
  </w:style>
  <w:style w:type="character" w:customStyle="1" w:styleId="A10">
    <w:name w:val="A10"/>
    <w:uiPriority w:val="99"/>
    <w:rsid w:val="009B0D0F"/>
    <w:rPr>
      <w:color w:val="000000"/>
      <w:sz w:val="12"/>
      <w:szCs w:val="12"/>
    </w:rPr>
  </w:style>
  <w:style w:type="character" w:styleId="af0">
    <w:name w:val="Placeholder Text"/>
    <w:uiPriority w:val="99"/>
    <w:semiHidden/>
    <w:rsid w:val="009B0D0F"/>
    <w:rPr>
      <w:color w:val="808080"/>
    </w:rPr>
  </w:style>
  <w:style w:type="paragraph" w:styleId="af1">
    <w:name w:val="Body Text"/>
    <w:basedOn w:val="a"/>
    <w:link w:val="Char5"/>
    <w:uiPriority w:val="99"/>
    <w:unhideWhenUsed/>
    <w:rsid w:val="009B0D0F"/>
    <w:pPr>
      <w:bidi/>
      <w:spacing w:after="120"/>
    </w:pPr>
  </w:style>
  <w:style w:type="character" w:customStyle="1" w:styleId="Char5">
    <w:name w:val="نص أساسي Char"/>
    <w:link w:val="af1"/>
    <w:uiPriority w:val="99"/>
    <w:rsid w:val="009B0D0F"/>
    <w:rPr>
      <w:sz w:val="22"/>
      <w:szCs w:val="22"/>
    </w:rPr>
  </w:style>
  <w:style w:type="paragraph" w:customStyle="1" w:styleId="1">
    <w:name w:val="نمط1"/>
    <w:basedOn w:val="a"/>
    <w:link w:val="1Char"/>
    <w:qFormat/>
    <w:rsid w:val="007F6017"/>
    <w:pPr>
      <w:autoSpaceDE w:val="0"/>
      <w:autoSpaceDN w:val="0"/>
      <w:adjustRightInd w:val="0"/>
      <w:spacing w:line="360" w:lineRule="auto"/>
      <w:jc w:val="both"/>
    </w:pPr>
    <w:rPr>
      <w:rFonts w:ascii="Times New Roman" w:eastAsia="Times New Roman" w:hAnsi="Times New Roman" w:cs="Times New Roman"/>
      <w:b/>
      <w:bCs/>
      <w:sz w:val="20"/>
      <w:szCs w:val="20"/>
      <w:lang w:bidi="ar-IQ"/>
    </w:rPr>
  </w:style>
  <w:style w:type="character" w:customStyle="1" w:styleId="xref">
    <w:name w:val="xref"/>
    <w:rsid w:val="00590E03"/>
  </w:style>
  <w:style w:type="character" w:customStyle="1" w:styleId="1Char">
    <w:name w:val="نمط1 Char"/>
    <w:link w:val="1"/>
    <w:rsid w:val="007F6017"/>
    <w:rPr>
      <w:rFonts w:ascii="Times New Roman" w:eastAsia="Times New Roman" w:hAnsi="Times New Roman" w:cs="Times New Roman"/>
      <w:b/>
      <w:bCs/>
      <w:lang w:bidi="ar-IQ"/>
    </w:rPr>
  </w:style>
  <w:style w:type="table" w:customStyle="1" w:styleId="TableGrid11">
    <w:name w:val="Table Grid11"/>
    <w:basedOn w:val="a1"/>
    <w:next w:val="a5"/>
    <w:uiPriority w:val="39"/>
    <w:rsid w:val="007D74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22D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E914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C5773A"/>
    <w:rPr>
      <w:color w:val="605E5C"/>
      <w:shd w:val="clear" w:color="auto" w:fill="E1DFDD"/>
    </w:rPr>
  </w:style>
  <w:style w:type="character" w:customStyle="1" w:styleId="2Char">
    <w:name w:val="عنوان 2 Char"/>
    <w:basedOn w:val="a0"/>
    <w:link w:val="2"/>
    <w:uiPriority w:val="9"/>
    <w:semiHidden/>
    <w:rsid w:val="002955A0"/>
    <w:rPr>
      <w:rFonts w:asciiTheme="majorHAnsi" w:eastAsiaTheme="majorEastAsia" w:hAnsiTheme="majorHAnsi" w:cstheme="majorBidi"/>
      <w:color w:val="2F5496" w:themeColor="accent1" w:themeShade="BF"/>
      <w:sz w:val="26"/>
      <w:szCs w:val="26"/>
    </w:rPr>
  </w:style>
  <w:style w:type="table" w:customStyle="1" w:styleId="TableGrid5">
    <w:name w:val="Table Grid5"/>
    <w:basedOn w:val="a1"/>
    <w:next w:val="a5"/>
    <w:uiPriority w:val="59"/>
    <w:rsid w:val="00B858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5"/>
    <w:uiPriority w:val="59"/>
    <w:rsid w:val="00B858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59"/>
    <w:rsid w:val="00B858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A011F"/>
    <w:rPr>
      <w:color w:val="605E5C"/>
      <w:shd w:val="clear" w:color="auto" w:fill="E1DFDD"/>
    </w:rPr>
  </w:style>
  <w:style w:type="table" w:customStyle="1" w:styleId="TableGrid8">
    <w:name w:val="Table Grid8"/>
    <w:basedOn w:val="a1"/>
    <w:next w:val="a5"/>
    <w:uiPriority w:val="59"/>
    <w:rsid w:val="00984A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5"/>
    <w:uiPriority w:val="59"/>
    <w:rsid w:val="00984A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5"/>
    <w:uiPriority w:val="59"/>
    <w:rsid w:val="003A4CE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5"/>
    <w:uiPriority w:val="59"/>
    <w:rsid w:val="00215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5"/>
    <w:uiPriority w:val="59"/>
    <w:rsid w:val="00215E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5"/>
    <w:uiPriority w:val="59"/>
    <w:rsid w:val="00525B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next w:val="a5"/>
    <w:uiPriority w:val="59"/>
    <w:rsid w:val="00AB6B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821">
      <w:bodyDiv w:val="1"/>
      <w:marLeft w:val="0"/>
      <w:marRight w:val="0"/>
      <w:marTop w:val="0"/>
      <w:marBottom w:val="0"/>
      <w:divBdr>
        <w:top w:val="none" w:sz="0" w:space="0" w:color="auto"/>
        <w:left w:val="none" w:sz="0" w:space="0" w:color="auto"/>
        <w:bottom w:val="none" w:sz="0" w:space="0" w:color="auto"/>
        <w:right w:val="none" w:sz="0" w:space="0" w:color="auto"/>
      </w:divBdr>
      <w:divsChild>
        <w:div w:id="1727410423">
          <w:marLeft w:val="0"/>
          <w:marRight w:val="0"/>
          <w:marTop w:val="0"/>
          <w:marBottom w:val="0"/>
          <w:divBdr>
            <w:top w:val="none" w:sz="0" w:space="0" w:color="auto"/>
            <w:left w:val="none" w:sz="0" w:space="0" w:color="auto"/>
            <w:bottom w:val="none" w:sz="0" w:space="0" w:color="auto"/>
            <w:right w:val="none" w:sz="0" w:space="0" w:color="auto"/>
          </w:divBdr>
        </w:div>
      </w:divsChild>
    </w:div>
    <w:div w:id="83890437">
      <w:bodyDiv w:val="1"/>
      <w:marLeft w:val="0"/>
      <w:marRight w:val="0"/>
      <w:marTop w:val="0"/>
      <w:marBottom w:val="0"/>
      <w:divBdr>
        <w:top w:val="none" w:sz="0" w:space="0" w:color="auto"/>
        <w:left w:val="none" w:sz="0" w:space="0" w:color="auto"/>
        <w:bottom w:val="none" w:sz="0" w:space="0" w:color="auto"/>
        <w:right w:val="none" w:sz="0" w:space="0" w:color="auto"/>
      </w:divBdr>
    </w:div>
    <w:div w:id="132647891">
      <w:bodyDiv w:val="1"/>
      <w:marLeft w:val="0"/>
      <w:marRight w:val="0"/>
      <w:marTop w:val="0"/>
      <w:marBottom w:val="0"/>
      <w:divBdr>
        <w:top w:val="none" w:sz="0" w:space="0" w:color="auto"/>
        <w:left w:val="none" w:sz="0" w:space="0" w:color="auto"/>
        <w:bottom w:val="none" w:sz="0" w:space="0" w:color="auto"/>
        <w:right w:val="none" w:sz="0" w:space="0" w:color="auto"/>
      </w:divBdr>
    </w:div>
    <w:div w:id="231038674">
      <w:bodyDiv w:val="1"/>
      <w:marLeft w:val="0"/>
      <w:marRight w:val="0"/>
      <w:marTop w:val="0"/>
      <w:marBottom w:val="0"/>
      <w:divBdr>
        <w:top w:val="none" w:sz="0" w:space="0" w:color="auto"/>
        <w:left w:val="none" w:sz="0" w:space="0" w:color="auto"/>
        <w:bottom w:val="none" w:sz="0" w:space="0" w:color="auto"/>
        <w:right w:val="none" w:sz="0" w:space="0" w:color="auto"/>
      </w:divBdr>
    </w:div>
    <w:div w:id="263735075">
      <w:bodyDiv w:val="1"/>
      <w:marLeft w:val="0"/>
      <w:marRight w:val="0"/>
      <w:marTop w:val="0"/>
      <w:marBottom w:val="0"/>
      <w:divBdr>
        <w:top w:val="none" w:sz="0" w:space="0" w:color="auto"/>
        <w:left w:val="none" w:sz="0" w:space="0" w:color="auto"/>
        <w:bottom w:val="none" w:sz="0" w:space="0" w:color="auto"/>
        <w:right w:val="none" w:sz="0" w:space="0" w:color="auto"/>
      </w:divBdr>
    </w:div>
    <w:div w:id="324552692">
      <w:bodyDiv w:val="1"/>
      <w:marLeft w:val="0"/>
      <w:marRight w:val="0"/>
      <w:marTop w:val="0"/>
      <w:marBottom w:val="0"/>
      <w:divBdr>
        <w:top w:val="none" w:sz="0" w:space="0" w:color="auto"/>
        <w:left w:val="none" w:sz="0" w:space="0" w:color="auto"/>
        <w:bottom w:val="none" w:sz="0" w:space="0" w:color="auto"/>
        <w:right w:val="none" w:sz="0" w:space="0" w:color="auto"/>
      </w:divBdr>
    </w:div>
    <w:div w:id="374045085">
      <w:bodyDiv w:val="1"/>
      <w:marLeft w:val="0"/>
      <w:marRight w:val="0"/>
      <w:marTop w:val="0"/>
      <w:marBottom w:val="0"/>
      <w:divBdr>
        <w:top w:val="none" w:sz="0" w:space="0" w:color="auto"/>
        <w:left w:val="none" w:sz="0" w:space="0" w:color="auto"/>
        <w:bottom w:val="none" w:sz="0" w:space="0" w:color="auto"/>
        <w:right w:val="none" w:sz="0" w:space="0" w:color="auto"/>
      </w:divBdr>
    </w:div>
    <w:div w:id="469830820">
      <w:bodyDiv w:val="1"/>
      <w:marLeft w:val="0"/>
      <w:marRight w:val="0"/>
      <w:marTop w:val="0"/>
      <w:marBottom w:val="0"/>
      <w:divBdr>
        <w:top w:val="none" w:sz="0" w:space="0" w:color="auto"/>
        <w:left w:val="none" w:sz="0" w:space="0" w:color="auto"/>
        <w:bottom w:val="none" w:sz="0" w:space="0" w:color="auto"/>
        <w:right w:val="none" w:sz="0" w:space="0" w:color="auto"/>
      </w:divBdr>
    </w:div>
    <w:div w:id="602997341">
      <w:bodyDiv w:val="1"/>
      <w:marLeft w:val="0"/>
      <w:marRight w:val="0"/>
      <w:marTop w:val="0"/>
      <w:marBottom w:val="0"/>
      <w:divBdr>
        <w:top w:val="none" w:sz="0" w:space="0" w:color="auto"/>
        <w:left w:val="none" w:sz="0" w:space="0" w:color="auto"/>
        <w:bottom w:val="none" w:sz="0" w:space="0" w:color="auto"/>
        <w:right w:val="none" w:sz="0" w:space="0" w:color="auto"/>
      </w:divBdr>
    </w:div>
    <w:div w:id="647394448">
      <w:bodyDiv w:val="1"/>
      <w:marLeft w:val="0"/>
      <w:marRight w:val="0"/>
      <w:marTop w:val="0"/>
      <w:marBottom w:val="0"/>
      <w:divBdr>
        <w:top w:val="none" w:sz="0" w:space="0" w:color="auto"/>
        <w:left w:val="none" w:sz="0" w:space="0" w:color="auto"/>
        <w:bottom w:val="none" w:sz="0" w:space="0" w:color="auto"/>
        <w:right w:val="none" w:sz="0" w:space="0" w:color="auto"/>
      </w:divBdr>
    </w:div>
    <w:div w:id="647439659">
      <w:bodyDiv w:val="1"/>
      <w:marLeft w:val="0"/>
      <w:marRight w:val="0"/>
      <w:marTop w:val="0"/>
      <w:marBottom w:val="0"/>
      <w:divBdr>
        <w:top w:val="none" w:sz="0" w:space="0" w:color="auto"/>
        <w:left w:val="none" w:sz="0" w:space="0" w:color="auto"/>
        <w:bottom w:val="none" w:sz="0" w:space="0" w:color="auto"/>
        <w:right w:val="none" w:sz="0" w:space="0" w:color="auto"/>
      </w:divBdr>
    </w:div>
    <w:div w:id="704646891">
      <w:bodyDiv w:val="1"/>
      <w:marLeft w:val="0"/>
      <w:marRight w:val="0"/>
      <w:marTop w:val="0"/>
      <w:marBottom w:val="0"/>
      <w:divBdr>
        <w:top w:val="none" w:sz="0" w:space="0" w:color="auto"/>
        <w:left w:val="none" w:sz="0" w:space="0" w:color="auto"/>
        <w:bottom w:val="none" w:sz="0" w:space="0" w:color="auto"/>
        <w:right w:val="none" w:sz="0" w:space="0" w:color="auto"/>
      </w:divBdr>
    </w:div>
    <w:div w:id="783961998">
      <w:bodyDiv w:val="1"/>
      <w:marLeft w:val="0"/>
      <w:marRight w:val="0"/>
      <w:marTop w:val="0"/>
      <w:marBottom w:val="0"/>
      <w:divBdr>
        <w:top w:val="none" w:sz="0" w:space="0" w:color="auto"/>
        <w:left w:val="none" w:sz="0" w:space="0" w:color="auto"/>
        <w:bottom w:val="none" w:sz="0" w:space="0" w:color="auto"/>
        <w:right w:val="none" w:sz="0" w:space="0" w:color="auto"/>
      </w:divBdr>
    </w:div>
    <w:div w:id="982582015">
      <w:bodyDiv w:val="1"/>
      <w:marLeft w:val="0"/>
      <w:marRight w:val="0"/>
      <w:marTop w:val="0"/>
      <w:marBottom w:val="0"/>
      <w:divBdr>
        <w:top w:val="none" w:sz="0" w:space="0" w:color="auto"/>
        <w:left w:val="none" w:sz="0" w:space="0" w:color="auto"/>
        <w:bottom w:val="none" w:sz="0" w:space="0" w:color="auto"/>
        <w:right w:val="none" w:sz="0" w:space="0" w:color="auto"/>
      </w:divBdr>
    </w:div>
    <w:div w:id="1155222320">
      <w:bodyDiv w:val="1"/>
      <w:marLeft w:val="0"/>
      <w:marRight w:val="0"/>
      <w:marTop w:val="0"/>
      <w:marBottom w:val="0"/>
      <w:divBdr>
        <w:top w:val="none" w:sz="0" w:space="0" w:color="auto"/>
        <w:left w:val="none" w:sz="0" w:space="0" w:color="auto"/>
        <w:bottom w:val="none" w:sz="0" w:space="0" w:color="auto"/>
        <w:right w:val="none" w:sz="0" w:space="0" w:color="auto"/>
      </w:divBdr>
    </w:div>
    <w:div w:id="1185707170">
      <w:bodyDiv w:val="1"/>
      <w:marLeft w:val="0"/>
      <w:marRight w:val="0"/>
      <w:marTop w:val="0"/>
      <w:marBottom w:val="0"/>
      <w:divBdr>
        <w:top w:val="none" w:sz="0" w:space="0" w:color="auto"/>
        <w:left w:val="none" w:sz="0" w:space="0" w:color="auto"/>
        <w:bottom w:val="none" w:sz="0" w:space="0" w:color="auto"/>
        <w:right w:val="none" w:sz="0" w:space="0" w:color="auto"/>
      </w:divBdr>
    </w:div>
    <w:div w:id="1358505308">
      <w:bodyDiv w:val="1"/>
      <w:marLeft w:val="0"/>
      <w:marRight w:val="0"/>
      <w:marTop w:val="0"/>
      <w:marBottom w:val="0"/>
      <w:divBdr>
        <w:top w:val="none" w:sz="0" w:space="0" w:color="auto"/>
        <w:left w:val="none" w:sz="0" w:space="0" w:color="auto"/>
        <w:bottom w:val="none" w:sz="0" w:space="0" w:color="auto"/>
        <w:right w:val="none" w:sz="0" w:space="0" w:color="auto"/>
      </w:divBdr>
    </w:div>
    <w:div w:id="1370492162">
      <w:bodyDiv w:val="1"/>
      <w:marLeft w:val="0"/>
      <w:marRight w:val="0"/>
      <w:marTop w:val="0"/>
      <w:marBottom w:val="0"/>
      <w:divBdr>
        <w:top w:val="none" w:sz="0" w:space="0" w:color="auto"/>
        <w:left w:val="none" w:sz="0" w:space="0" w:color="auto"/>
        <w:bottom w:val="none" w:sz="0" w:space="0" w:color="auto"/>
        <w:right w:val="none" w:sz="0" w:space="0" w:color="auto"/>
      </w:divBdr>
    </w:div>
    <w:div w:id="1370836945">
      <w:bodyDiv w:val="1"/>
      <w:marLeft w:val="0"/>
      <w:marRight w:val="0"/>
      <w:marTop w:val="0"/>
      <w:marBottom w:val="0"/>
      <w:divBdr>
        <w:top w:val="none" w:sz="0" w:space="0" w:color="auto"/>
        <w:left w:val="none" w:sz="0" w:space="0" w:color="auto"/>
        <w:bottom w:val="none" w:sz="0" w:space="0" w:color="auto"/>
        <w:right w:val="none" w:sz="0" w:space="0" w:color="auto"/>
      </w:divBdr>
    </w:div>
    <w:div w:id="1590580015">
      <w:bodyDiv w:val="1"/>
      <w:marLeft w:val="0"/>
      <w:marRight w:val="0"/>
      <w:marTop w:val="0"/>
      <w:marBottom w:val="0"/>
      <w:divBdr>
        <w:top w:val="none" w:sz="0" w:space="0" w:color="auto"/>
        <w:left w:val="none" w:sz="0" w:space="0" w:color="auto"/>
        <w:bottom w:val="none" w:sz="0" w:space="0" w:color="auto"/>
        <w:right w:val="none" w:sz="0" w:space="0" w:color="auto"/>
      </w:divBdr>
    </w:div>
    <w:div w:id="1620649446">
      <w:bodyDiv w:val="1"/>
      <w:marLeft w:val="0"/>
      <w:marRight w:val="0"/>
      <w:marTop w:val="0"/>
      <w:marBottom w:val="0"/>
      <w:divBdr>
        <w:top w:val="none" w:sz="0" w:space="0" w:color="auto"/>
        <w:left w:val="none" w:sz="0" w:space="0" w:color="auto"/>
        <w:bottom w:val="none" w:sz="0" w:space="0" w:color="auto"/>
        <w:right w:val="none" w:sz="0" w:space="0" w:color="auto"/>
      </w:divBdr>
    </w:div>
    <w:div w:id="1628664051">
      <w:bodyDiv w:val="1"/>
      <w:marLeft w:val="0"/>
      <w:marRight w:val="0"/>
      <w:marTop w:val="0"/>
      <w:marBottom w:val="0"/>
      <w:divBdr>
        <w:top w:val="none" w:sz="0" w:space="0" w:color="auto"/>
        <w:left w:val="none" w:sz="0" w:space="0" w:color="auto"/>
        <w:bottom w:val="none" w:sz="0" w:space="0" w:color="auto"/>
        <w:right w:val="none" w:sz="0" w:space="0" w:color="auto"/>
      </w:divBdr>
    </w:div>
    <w:div w:id="1736783339">
      <w:bodyDiv w:val="1"/>
      <w:marLeft w:val="0"/>
      <w:marRight w:val="0"/>
      <w:marTop w:val="0"/>
      <w:marBottom w:val="0"/>
      <w:divBdr>
        <w:top w:val="none" w:sz="0" w:space="0" w:color="auto"/>
        <w:left w:val="none" w:sz="0" w:space="0" w:color="auto"/>
        <w:bottom w:val="none" w:sz="0" w:space="0" w:color="auto"/>
        <w:right w:val="none" w:sz="0" w:space="0" w:color="auto"/>
      </w:divBdr>
    </w:div>
    <w:div w:id="1745183908">
      <w:bodyDiv w:val="1"/>
      <w:marLeft w:val="0"/>
      <w:marRight w:val="0"/>
      <w:marTop w:val="0"/>
      <w:marBottom w:val="0"/>
      <w:divBdr>
        <w:top w:val="none" w:sz="0" w:space="0" w:color="auto"/>
        <w:left w:val="none" w:sz="0" w:space="0" w:color="auto"/>
        <w:bottom w:val="none" w:sz="0" w:space="0" w:color="auto"/>
        <w:right w:val="none" w:sz="0" w:space="0" w:color="auto"/>
      </w:divBdr>
    </w:div>
    <w:div w:id="1771929451">
      <w:bodyDiv w:val="1"/>
      <w:marLeft w:val="0"/>
      <w:marRight w:val="0"/>
      <w:marTop w:val="0"/>
      <w:marBottom w:val="0"/>
      <w:divBdr>
        <w:top w:val="none" w:sz="0" w:space="0" w:color="auto"/>
        <w:left w:val="none" w:sz="0" w:space="0" w:color="auto"/>
        <w:bottom w:val="none" w:sz="0" w:space="0" w:color="auto"/>
        <w:right w:val="none" w:sz="0" w:space="0" w:color="auto"/>
      </w:divBdr>
    </w:div>
    <w:div w:id="1825584680">
      <w:bodyDiv w:val="1"/>
      <w:marLeft w:val="0"/>
      <w:marRight w:val="0"/>
      <w:marTop w:val="0"/>
      <w:marBottom w:val="0"/>
      <w:divBdr>
        <w:top w:val="none" w:sz="0" w:space="0" w:color="auto"/>
        <w:left w:val="none" w:sz="0" w:space="0" w:color="auto"/>
        <w:bottom w:val="none" w:sz="0" w:space="0" w:color="auto"/>
        <w:right w:val="none" w:sz="0" w:space="0" w:color="auto"/>
      </w:divBdr>
    </w:div>
    <w:div w:id="1880822618">
      <w:bodyDiv w:val="1"/>
      <w:marLeft w:val="0"/>
      <w:marRight w:val="0"/>
      <w:marTop w:val="0"/>
      <w:marBottom w:val="0"/>
      <w:divBdr>
        <w:top w:val="none" w:sz="0" w:space="0" w:color="auto"/>
        <w:left w:val="none" w:sz="0" w:space="0" w:color="auto"/>
        <w:bottom w:val="none" w:sz="0" w:space="0" w:color="auto"/>
        <w:right w:val="none" w:sz="0" w:space="0" w:color="auto"/>
      </w:divBdr>
    </w:div>
    <w:div w:id="2014910682">
      <w:bodyDiv w:val="1"/>
      <w:marLeft w:val="0"/>
      <w:marRight w:val="0"/>
      <w:marTop w:val="0"/>
      <w:marBottom w:val="0"/>
      <w:divBdr>
        <w:top w:val="none" w:sz="0" w:space="0" w:color="auto"/>
        <w:left w:val="none" w:sz="0" w:space="0" w:color="auto"/>
        <w:bottom w:val="none" w:sz="0" w:space="0" w:color="auto"/>
        <w:right w:val="none" w:sz="0" w:space="0" w:color="auto"/>
      </w:divBdr>
      <w:divsChild>
        <w:div w:id="131498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20es/by/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AA68-6146-4F49-A3D8-DA534564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7</Pages>
  <Words>12767</Words>
  <Characters>72774</Characters>
  <Application>Microsoft Office Word</Application>
  <DocSecurity>0</DocSecurity>
  <Lines>606</Lines>
  <Paragraphs>170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85371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DELL</cp:lastModifiedBy>
  <cp:revision>43</cp:revision>
  <cp:lastPrinted>2023-12-08T04:46:00Z</cp:lastPrinted>
  <dcterms:created xsi:type="dcterms:W3CDTF">2023-06-05T13:22:00Z</dcterms:created>
  <dcterms:modified xsi:type="dcterms:W3CDTF">2023-12-18T05:53:00Z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b2e0c0ebae78f303bbc95ff340657293b72612cdb5ea917d7070fb149f74dc04</vt:lpwstr>
  </property>
</Properties>
</file>